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259CF" w:rsidRPr="00C17E94" w:rsidRDefault="004259CF" w:rsidP="004259CF">
      <w:pPr>
        <w:spacing w:beforeLines="600" w:before="1872" w:after="312"/>
        <w:jc w:val="center"/>
        <w:rPr>
          <w:rFonts w:ascii="Times New Roman" w:eastAsia="黑体" w:hAnsi="Times New Roman"/>
          <w:b/>
          <w:sz w:val="48"/>
          <w:szCs w:val="36"/>
        </w:rPr>
      </w:pPr>
      <w:r w:rsidRPr="00C17E94">
        <w:rPr>
          <w:rFonts w:ascii="Times New Roman" w:eastAsia="黑体" w:hAnsi="Times New Roman" w:hint="eastAsia"/>
          <w:b/>
          <w:sz w:val="48"/>
          <w:szCs w:val="36"/>
        </w:rPr>
        <w:t>大学生创新训练项目申请书</w:t>
      </w:r>
    </w:p>
    <w:p w:rsidR="004259CF" w:rsidRPr="00FE74E1" w:rsidRDefault="004259CF" w:rsidP="004259CF">
      <w:pPr>
        <w:spacing w:line="620" w:lineRule="exact"/>
        <w:jc w:val="center"/>
        <w:rPr>
          <w:rFonts w:ascii="Times New Roman" w:hAnsi="Times New Roman"/>
          <w:b/>
          <w:bCs/>
          <w:color w:val="000000"/>
          <w:sz w:val="44"/>
          <w:szCs w:val="44"/>
        </w:rPr>
      </w:pPr>
    </w:p>
    <w:p w:rsidR="004259CF" w:rsidRPr="00F54973" w:rsidRDefault="004259CF" w:rsidP="004259CF">
      <w:pPr>
        <w:snapToGrid w:val="0"/>
        <w:ind w:firstLineChars="200" w:firstLine="820"/>
        <w:rPr>
          <w:rFonts w:ascii="Times New Roman" w:hAnsi="Times New Roman"/>
          <w:color w:val="000000"/>
          <w:sz w:val="41"/>
        </w:rPr>
      </w:pPr>
    </w:p>
    <w:p w:rsidR="00D67BE8" w:rsidRDefault="00EE050D" w:rsidP="0001749B">
      <w:pPr>
        <w:tabs>
          <w:tab w:val="left" w:pos="7800"/>
        </w:tabs>
        <w:spacing w:line="760" w:lineRule="exact"/>
        <w:ind w:rightChars="107" w:right="225" w:firstLineChars="200" w:firstLine="600"/>
        <w:rPr>
          <w:rFonts w:ascii="黑体" w:eastAsia="黑体" w:hAnsi="宋体"/>
          <w:color w:val="000000"/>
          <w:sz w:val="30"/>
          <w:szCs w:val="30"/>
          <w:u w:val="single"/>
        </w:rPr>
      </w:pPr>
      <w:r>
        <w:rPr>
          <w:rFonts w:ascii="黑体" w:eastAsia="黑体" w:hAnsi="宋体" w:hint="eastAsia"/>
          <w:color w:val="000000"/>
          <w:sz w:val="30"/>
          <w:szCs w:val="30"/>
        </w:rPr>
        <w:t>项目编号</w:t>
      </w:r>
      <w:r>
        <w:rPr>
          <w:rFonts w:ascii="黑体" w:eastAsia="黑体" w:hAnsi="宋体" w:hint="eastAsia"/>
          <w:color w:val="000000"/>
          <w:sz w:val="30"/>
          <w:szCs w:val="30"/>
          <w:u w:val="single"/>
        </w:rPr>
        <w:t xml:space="preserve">              </w:t>
      </w:r>
      <w:r w:rsidR="002D33AF" w:rsidRPr="002D33AF">
        <w:rPr>
          <w:rFonts w:ascii="黑体" w:eastAsia="黑体" w:hAnsi="宋体"/>
          <w:color w:val="000000"/>
          <w:sz w:val="30"/>
          <w:szCs w:val="30"/>
          <w:u w:val="single"/>
        </w:rPr>
        <w:t>S201910530027</w:t>
      </w:r>
      <w:r>
        <w:rPr>
          <w:rFonts w:ascii="黑体" w:eastAsia="黑体" w:hAnsi="宋体" w:hint="eastAsia"/>
          <w:color w:val="000000"/>
          <w:sz w:val="30"/>
          <w:szCs w:val="30"/>
          <w:u w:val="single"/>
        </w:rPr>
        <w:t xml:space="preserve">      </w:t>
      </w:r>
      <w:r w:rsidR="004259CF">
        <w:rPr>
          <w:rFonts w:ascii="黑体" w:eastAsia="黑体" w:hAnsi="宋体" w:hint="eastAsia"/>
          <w:color w:val="000000"/>
          <w:sz w:val="30"/>
          <w:szCs w:val="30"/>
          <w:u w:val="single"/>
        </w:rPr>
        <w:t xml:space="preserve">           </w:t>
      </w:r>
      <w:r>
        <w:rPr>
          <w:rFonts w:ascii="黑体" w:eastAsia="黑体" w:hAnsi="宋体" w:hint="eastAsia"/>
          <w:color w:val="000000"/>
          <w:sz w:val="30"/>
          <w:szCs w:val="30"/>
          <w:u w:val="single"/>
        </w:rPr>
        <w:t xml:space="preserve">   </w:t>
      </w:r>
    </w:p>
    <w:p w:rsidR="00D67BE8" w:rsidRDefault="00EE050D" w:rsidP="0001749B">
      <w:pPr>
        <w:spacing w:line="760" w:lineRule="exact"/>
        <w:ind w:rightChars="107" w:right="225" w:firstLineChars="200" w:firstLine="600"/>
        <w:rPr>
          <w:rFonts w:ascii="黑体" w:eastAsia="黑体" w:hAnsi="宋体"/>
          <w:color w:val="000000"/>
          <w:sz w:val="30"/>
          <w:szCs w:val="30"/>
          <w:u w:val="single"/>
        </w:rPr>
      </w:pPr>
      <w:r>
        <w:rPr>
          <w:rFonts w:ascii="黑体" w:eastAsia="黑体" w:hAnsi="宋体" w:hint="eastAsia"/>
          <w:color w:val="000000"/>
          <w:sz w:val="30"/>
          <w:szCs w:val="30"/>
        </w:rPr>
        <w:t>项目名称</w:t>
      </w:r>
      <w:r>
        <w:rPr>
          <w:rFonts w:ascii="黑体" w:eastAsia="黑体" w:hAnsi="宋体" w:hint="eastAsia"/>
          <w:color w:val="000000"/>
          <w:sz w:val="30"/>
          <w:szCs w:val="30"/>
          <w:u w:val="single"/>
        </w:rPr>
        <w:t xml:space="preserve"> </w:t>
      </w:r>
      <w:r w:rsidR="0001749B">
        <w:rPr>
          <w:rFonts w:ascii="黑体" w:eastAsia="黑体" w:hAnsi="宋体" w:hint="eastAsia"/>
          <w:color w:val="000000"/>
          <w:sz w:val="30"/>
          <w:szCs w:val="30"/>
          <w:u w:val="single"/>
        </w:rPr>
        <w:t xml:space="preserve"> </w:t>
      </w:r>
      <w:r>
        <w:rPr>
          <w:rFonts w:ascii="黑体" w:eastAsia="黑体" w:hAnsi="宋体" w:hint="eastAsia"/>
          <w:color w:val="000000"/>
          <w:sz w:val="30"/>
          <w:szCs w:val="30"/>
          <w:u w:val="single"/>
        </w:rPr>
        <w:t xml:space="preserve"> </w:t>
      </w:r>
      <w:r w:rsidRPr="004259CF">
        <w:rPr>
          <w:rFonts w:ascii="Times New Roman" w:eastAsia="黑体" w:hAnsi="Times New Roman" w:hint="eastAsia"/>
          <w:b/>
          <w:color w:val="000000"/>
          <w:sz w:val="30"/>
          <w:szCs w:val="30"/>
          <w:u w:val="single"/>
        </w:rPr>
        <w:t>铈基催化剂催化性能及协同脱硝机理研究</w:t>
      </w:r>
      <w:r>
        <w:rPr>
          <w:rFonts w:asciiTheme="majorEastAsia" w:eastAsiaTheme="majorEastAsia" w:hAnsiTheme="majorEastAsia" w:cstheme="majorEastAsia" w:hint="eastAsia"/>
          <w:color w:val="000000"/>
          <w:sz w:val="24"/>
          <w:szCs w:val="24"/>
          <w:u w:val="single"/>
        </w:rPr>
        <w:t xml:space="preserve"> </w:t>
      </w:r>
      <w:r>
        <w:rPr>
          <w:rFonts w:ascii="黑体" w:eastAsia="黑体" w:hAnsi="宋体" w:hint="eastAsia"/>
          <w:color w:val="000000"/>
          <w:sz w:val="30"/>
          <w:szCs w:val="30"/>
          <w:u w:val="single"/>
        </w:rPr>
        <w:t xml:space="preserve">                                </w:t>
      </w:r>
    </w:p>
    <w:p w:rsidR="00D67BE8" w:rsidRDefault="00EE050D" w:rsidP="0001749B">
      <w:pPr>
        <w:spacing w:line="760" w:lineRule="exact"/>
        <w:ind w:rightChars="107" w:right="225" w:firstLineChars="200" w:firstLine="600"/>
        <w:rPr>
          <w:rFonts w:ascii="黑体" w:eastAsia="黑体" w:hAnsi="宋体"/>
          <w:color w:val="000000"/>
          <w:sz w:val="30"/>
          <w:szCs w:val="30"/>
          <w:u w:val="single"/>
        </w:rPr>
      </w:pPr>
      <w:r>
        <w:rPr>
          <w:rFonts w:ascii="黑体" w:eastAsia="黑体" w:hAnsi="宋体" w:hint="eastAsia"/>
          <w:color w:val="000000"/>
          <w:sz w:val="30"/>
          <w:szCs w:val="30"/>
        </w:rPr>
        <w:t>项目负责人</w:t>
      </w:r>
      <w:r>
        <w:rPr>
          <w:rFonts w:ascii="黑体" w:eastAsia="黑体" w:hAnsi="宋体" w:hint="eastAsia"/>
          <w:color w:val="000000"/>
          <w:sz w:val="30"/>
          <w:szCs w:val="30"/>
          <w:u w:val="single"/>
        </w:rPr>
        <w:t xml:space="preserve">    </w:t>
      </w:r>
      <w:r>
        <w:rPr>
          <w:rFonts w:asciiTheme="minorEastAsia" w:eastAsiaTheme="minorEastAsia" w:hAnsiTheme="minorEastAsia" w:cstheme="minorEastAsia" w:hint="eastAsia"/>
          <w:color w:val="000000"/>
          <w:sz w:val="24"/>
          <w:szCs w:val="24"/>
          <w:u w:val="single"/>
        </w:rPr>
        <w:t xml:space="preserve"> </w:t>
      </w:r>
      <w:r w:rsidRPr="004259CF">
        <w:rPr>
          <w:rFonts w:ascii="Times New Roman" w:eastAsia="黑体" w:hAnsi="Times New Roman" w:hint="eastAsia"/>
          <w:b/>
          <w:color w:val="000000"/>
          <w:sz w:val="30"/>
          <w:szCs w:val="30"/>
          <w:u w:val="single"/>
        </w:rPr>
        <w:t>王雨轩</w:t>
      </w:r>
      <w:r>
        <w:rPr>
          <w:rFonts w:ascii="黑体" w:eastAsia="黑体" w:hAnsi="宋体" w:hint="eastAsia"/>
          <w:color w:val="000000"/>
          <w:sz w:val="30"/>
          <w:szCs w:val="30"/>
          <w:u w:val="single"/>
        </w:rPr>
        <w:t xml:space="preserve">      </w:t>
      </w:r>
      <w:r>
        <w:rPr>
          <w:rFonts w:ascii="黑体" w:eastAsia="黑体" w:hAnsi="宋体" w:hint="eastAsia"/>
          <w:color w:val="000000"/>
          <w:sz w:val="30"/>
          <w:szCs w:val="30"/>
        </w:rPr>
        <w:t>联系电话</w:t>
      </w:r>
      <w:r>
        <w:rPr>
          <w:rFonts w:asciiTheme="majorEastAsia" w:eastAsiaTheme="majorEastAsia" w:hAnsiTheme="majorEastAsia" w:cstheme="majorEastAsia" w:hint="eastAsia"/>
          <w:b/>
          <w:color w:val="000000"/>
          <w:sz w:val="24"/>
          <w:szCs w:val="24"/>
          <w:u w:val="single"/>
        </w:rPr>
        <w:t xml:space="preserve"> </w:t>
      </w:r>
      <w:r>
        <w:rPr>
          <w:rFonts w:ascii="黑体" w:eastAsia="黑体" w:hAnsi="宋体" w:hint="eastAsia"/>
          <w:b/>
          <w:color w:val="000000"/>
          <w:sz w:val="30"/>
          <w:szCs w:val="30"/>
          <w:u w:val="single"/>
        </w:rPr>
        <w:t xml:space="preserve">          </w:t>
      </w:r>
    </w:p>
    <w:p w:rsidR="00D67BE8" w:rsidRDefault="00EE050D" w:rsidP="0001749B">
      <w:pPr>
        <w:spacing w:line="760" w:lineRule="exact"/>
        <w:ind w:rightChars="107" w:right="225" w:firstLineChars="200" w:firstLine="600"/>
        <w:rPr>
          <w:rFonts w:ascii="黑体" w:eastAsia="黑体" w:hAnsi="宋体"/>
          <w:color w:val="000000"/>
          <w:sz w:val="30"/>
          <w:szCs w:val="30"/>
          <w:u w:val="single"/>
        </w:rPr>
      </w:pPr>
      <w:r>
        <w:rPr>
          <w:rFonts w:ascii="黑体" w:eastAsia="黑体" w:hAnsi="宋体" w:hint="eastAsia"/>
          <w:color w:val="000000"/>
          <w:sz w:val="30"/>
          <w:szCs w:val="30"/>
        </w:rPr>
        <w:t>所在学院</w:t>
      </w:r>
      <w:r>
        <w:rPr>
          <w:rFonts w:ascii="黑体" w:eastAsia="黑体" w:hAnsi="宋体" w:hint="eastAsia"/>
          <w:color w:val="000000"/>
          <w:sz w:val="30"/>
          <w:szCs w:val="30"/>
          <w:u w:val="single"/>
        </w:rPr>
        <w:t xml:space="preserve"> </w:t>
      </w:r>
      <w:r>
        <w:rPr>
          <w:rFonts w:ascii="黑体" w:eastAsia="黑体" w:hAnsi="宋体"/>
          <w:color w:val="000000"/>
          <w:sz w:val="30"/>
          <w:szCs w:val="30"/>
          <w:u w:val="single"/>
        </w:rPr>
        <w:t xml:space="preserve">     </w:t>
      </w:r>
      <w:r w:rsidR="0001749B">
        <w:rPr>
          <w:rFonts w:ascii="黑体" w:eastAsia="黑体" w:hAnsi="宋体" w:hint="eastAsia"/>
          <w:color w:val="000000"/>
          <w:sz w:val="30"/>
          <w:szCs w:val="30"/>
          <w:u w:val="single"/>
        </w:rPr>
        <w:t xml:space="preserve">   </w:t>
      </w:r>
      <w:r>
        <w:rPr>
          <w:rFonts w:ascii="黑体" w:eastAsia="黑体" w:hAnsi="宋体"/>
          <w:color w:val="000000"/>
          <w:sz w:val="30"/>
          <w:szCs w:val="30"/>
          <w:u w:val="single"/>
        </w:rPr>
        <w:t xml:space="preserve">   </w:t>
      </w:r>
      <w:r>
        <w:rPr>
          <w:rFonts w:asciiTheme="majorEastAsia" w:eastAsiaTheme="majorEastAsia" w:hAnsiTheme="majorEastAsia" w:cstheme="majorEastAsia" w:hint="eastAsia"/>
          <w:color w:val="000000"/>
          <w:sz w:val="24"/>
          <w:szCs w:val="24"/>
          <w:u w:val="single"/>
        </w:rPr>
        <w:t xml:space="preserve"> </w:t>
      </w:r>
      <w:r w:rsidRPr="004259CF">
        <w:rPr>
          <w:rFonts w:ascii="Times New Roman" w:eastAsia="黑体" w:hAnsi="Times New Roman" w:hint="eastAsia"/>
          <w:b/>
          <w:color w:val="000000"/>
          <w:sz w:val="30"/>
          <w:szCs w:val="30"/>
          <w:u w:val="single"/>
        </w:rPr>
        <w:t>环境与资源学院</w:t>
      </w:r>
      <w:r>
        <w:rPr>
          <w:rFonts w:asciiTheme="majorEastAsia" w:eastAsiaTheme="majorEastAsia" w:hAnsiTheme="majorEastAsia" w:cstheme="majorEastAsia" w:hint="eastAsia"/>
          <w:color w:val="000000"/>
          <w:sz w:val="24"/>
          <w:szCs w:val="24"/>
          <w:u w:val="single"/>
        </w:rPr>
        <w:t xml:space="preserve"> </w:t>
      </w:r>
      <w:r>
        <w:rPr>
          <w:rFonts w:ascii="黑体" w:eastAsia="黑体" w:hAnsi="宋体" w:hint="eastAsia"/>
          <w:color w:val="000000"/>
          <w:sz w:val="30"/>
          <w:szCs w:val="30"/>
          <w:u w:val="single"/>
        </w:rPr>
        <w:t xml:space="preserve"> </w:t>
      </w:r>
      <w:r>
        <w:rPr>
          <w:rFonts w:ascii="黑体" w:eastAsia="黑体" w:hAnsi="宋体" w:hint="eastAsia"/>
          <w:b/>
          <w:color w:val="000000"/>
          <w:sz w:val="30"/>
          <w:szCs w:val="30"/>
          <w:u w:val="single"/>
        </w:rPr>
        <w:t xml:space="preserve">  </w:t>
      </w:r>
      <w:r>
        <w:rPr>
          <w:rFonts w:ascii="黑体" w:eastAsia="黑体" w:hAnsi="宋体" w:hint="eastAsia"/>
          <w:color w:val="000000"/>
          <w:sz w:val="30"/>
          <w:szCs w:val="30"/>
          <w:u w:val="single"/>
        </w:rPr>
        <w:t xml:space="preserve">                               </w:t>
      </w:r>
    </w:p>
    <w:p w:rsidR="00D67BE8" w:rsidRDefault="00EE050D" w:rsidP="0001749B">
      <w:pPr>
        <w:spacing w:line="760" w:lineRule="exact"/>
        <w:ind w:rightChars="107" w:right="225" w:firstLineChars="200" w:firstLine="600"/>
        <w:rPr>
          <w:rFonts w:ascii="黑体" w:eastAsia="黑体" w:hAnsi="宋体"/>
          <w:color w:val="000000"/>
          <w:sz w:val="30"/>
          <w:szCs w:val="30"/>
          <w:u w:val="single"/>
        </w:rPr>
      </w:pPr>
      <w:r>
        <w:rPr>
          <w:rFonts w:ascii="黑体" w:eastAsia="黑体" w:hAnsi="宋体" w:hint="eastAsia"/>
          <w:color w:val="000000"/>
          <w:sz w:val="30"/>
          <w:szCs w:val="30"/>
        </w:rPr>
        <w:t>学    号</w:t>
      </w:r>
      <w:r>
        <w:rPr>
          <w:rFonts w:ascii="黑体" w:eastAsia="黑体" w:hAnsi="宋体" w:hint="eastAsia"/>
          <w:color w:val="000000"/>
          <w:sz w:val="30"/>
          <w:szCs w:val="30"/>
          <w:u w:val="single"/>
        </w:rPr>
        <w:t xml:space="preserve"> </w:t>
      </w:r>
      <w:r w:rsidRPr="00514B0C">
        <w:rPr>
          <w:rFonts w:ascii="Times New Roman" w:eastAsia="黑体" w:hAnsi="Times New Roman" w:hint="eastAsia"/>
          <w:color w:val="000000"/>
          <w:sz w:val="30"/>
          <w:szCs w:val="30"/>
          <w:u w:val="single"/>
        </w:rPr>
        <w:t>201705820636</w:t>
      </w:r>
      <w:r>
        <w:rPr>
          <w:rFonts w:ascii="黑体" w:eastAsia="黑体" w:hAnsi="宋体" w:hint="eastAsia"/>
          <w:color w:val="000000"/>
          <w:sz w:val="30"/>
          <w:szCs w:val="30"/>
          <w:u w:val="single"/>
        </w:rPr>
        <w:t xml:space="preserve"> </w:t>
      </w:r>
      <w:r>
        <w:rPr>
          <w:rFonts w:ascii="黑体" w:eastAsia="黑体" w:hAnsi="宋体" w:hint="eastAsia"/>
          <w:color w:val="000000"/>
          <w:sz w:val="30"/>
          <w:szCs w:val="30"/>
        </w:rPr>
        <w:t>专业班级</w:t>
      </w:r>
      <w:r w:rsidRPr="00514B0C">
        <w:rPr>
          <w:rFonts w:ascii="Times New Roman" w:eastAsia="黑体" w:hAnsi="Times New Roman" w:hint="eastAsia"/>
          <w:color w:val="000000"/>
          <w:sz w:val="30"/>
          <w:szCs w:val="30"/>
          <w:u w:val="single"/>
        </w:rPr>
        <w:t>17</w:t>
      </w:r>
      <w:r w:rsidRPr="004259CF">
        <w:rPr>
          <w:rFonts w:ascii="Times New Roman" w:eastAsia="黑体" w:hAnsi="Times New Roman" w:hint="eastAsia"/>
          <w:b/>
          <w:color w:val="000000"/>
          <w:sz w:val="30"/>
          <w:szCs w:val="30"/>
          <w:u w:val="single"/>
        </w:rPr>
        <w:t>环保设备工程</w:t>
      </w:r>
      <w:r w:rsidRPr="00514B0C">
        <w:rPr>
          <w:rFonts w:ascii="Times New Roman" w:eastAsia="黑体" w:hAnsi="Times New Roman" w:hint="eastAsia"/>
          <w:color w:val="000000"/>
          <w:sz w:val="30"/>
          <w:szCs w:val="30"/>
          <w:u w:val="single"/>
        </w:rPr>
        <w:t>1</w:t>
      </w:r>
      <w:r w:rsidRPr="004259CF">
        <w:rPr>
          <w:rFonts w:ascii="Times New Roman" w:eastAsia="黑体" w:hAnsi="Times New Roman" w:hint="eastAsia"/>
          <w:b/>
          <w:color w:val="000000"/>
          <w:sz w:val="30"/>
          <w:szCs w:val="30"/>
          <w:u w:val="single"/>
        </w:rPr>
        <w:t>班</w:t>
      </w:r>
      <w:r>
        <w:rPr>
          <w:rFonts w:ascii="黑体" w:eastAsia="黑体" w:hAnsi="宋体" w:hint="eastAsia"/>
          <w:color w:val="000000"/>
          <w:sz w:val="30"/>
          <w:szCs w:val="30"/>
          <w:u w:val="single"/>
        </w:rPr>
        <w:t xml:space="preserve">             </w:t>
      </w:r>
    </w:p>
    <w:p w:rsidR="00D67BE8" w:rsidRDefault="00EE050D" w:rsidP="0001749B">
      <w:pPr>
        <w:spacing w:line="760" w:lineRule="exact"/>
        <w:ind w:rightChars="107" w:right="225" w:firstLineChars="200" w:firstLine="600"/>
        <w:rPr>
          <w:rFonts w:ascii="黑体" w:eastAsia="黑体" w:hAnsi="宋体"/>
          <w:color w:val="000000"/>
          <w:sz w:val="30"/>
          <w:szCs w:val="30"/>
          <w:u w:val="single"/>
        </w:rPr>
      </w:pPr>
      <w:r>
        <w:rPr>
          <w:rFonts w:ascii="黑体" w:eastAsia="黑体" w:hAnsi="宋体" w:hint="eastAsia"/>
          <w:color w:val="000000"/>
          <w:sz w:val="30"/>
          <w:szCs w:val="30"/>
        </w:rPr>
        <w:t>指导教师</w:t>
      </w:r>
      <w:r>
        <w:rPr>
          <w:rFonts w:ascii="黑体" w:eastAsia="黑体" w:hAnsi="宋体" w:hint="eastAsia"/>
          <w:color w:val="000000"/>
          <w:sz w:val="30"/>
          <w:szCs w:val="30"/>
          <w:u w:val="single"/>
        </w:rPr>
        <w:t xml:space="preserve">       </w:t>
      </w:r>
      <w:r w:rsidR="0001749B">
        <w:rPr>
          <w:rFonts w:ascii="黑体" w:eastAsia="黑体" w:hAnsi="宋体" w:hint="eastAsia"/>
          <w:color w:val="000000"/>
          <w:sz w:val="30"/>
          <w:szCs w:val="30"/>
          <w:u w:val="single"/>
        </w:rPr>
        <w:t xml:space="preserve">     </w:t>
      </w:r>
      <w:r>
        <w:rPr>
          <w:rFonts w:ascii="黑体" w:eastAsia="黑体" w:hAnsi="宋体" w:hint="eastAsia"/>
          <w:color w:val="000000"/>
          <w:sz w:val="30"/>
          <w:szCs w:val="30"/>
          <w:u w:val="single"/>
        </w:rPr>
        <w:t xml:space="preserve">    </w:t>
      </w:r>
      <w:r w:rsidRPr="004259CF">
        <w:rPr>
          <w:rFonts w:ascii="Times New Roman" w:eastAsia="黑体" w:hAnsi="Times New Roman" w:hint="eastAsia"/>
          <w:b/>
          <w:color w:val="000000"/>
          <w:sz w:val="30"/>
          <w:szCs w:val="30"/>
          <w:u w:val="single"/>
        </w:rPr>
        <w:t xml:space="preserve"> </w:t>
      </w:r>
      <w:r w:rsidRPr="004259CF">
        <w:rPr>
          <w:rFonts w:ascii="Times New Roman" w:eastAsia="黑体" w:hAnsi="Times New Roman" w:hint="eastAsia"/>
          <w:b/>
          <w:color w:val="000000"/>
          <w:sz w:val="30"/>
          <w:szCs w:val="30"/>
          <w:u w:val="single"/>
        </w:rPr>
        <w:t>赵令葵</w:t>
      </w:r>
      <w:r w:rsidRPr="004259CF">
        <w:rPr>
          <w:rFonts w:ascii="Times New Roman" w:eastAsia="黑体" w:hAnsi="Times New Roman" w:hint="eastAsia"/>
          <w:b/>
          <w:color w:val="000000"/>
          <w:sz w:val="30"/>
          <w:szCs w:val="30"/>
          <w:u w:val="single"/>
        </w:rPr>
        <w:t xml:space="preserve"> </w:t>
      </w:r>
      <w:r>
        <w:rPr>
          <w:rFonts w:ascii="黑体" w:eastAsia="黑体" w:hAnsi="宋体" w:hint="eastAsia"/>
          <w:color w:val="000000"/>
          <w:sz w:val="30"/>
          <w:szCs w:val="30"/>
          <w:u w:val="single"/>
        </w:rPr>
        <w:t xml:space="preserve">                       </w:t>
      </w:r>
    </w:p>
    <w:p w:rsidR="00D67BE8" w:rsidRDefault="00EE050D" w:rsidP="0001749B">
      <w:pPr>
        <w:spacing w:line="760" w:lineRule="exact"/>
        <w:ind w:rightChars="107" w:right="225" w:firstLineChars="150" w:firstLine="624"/>
        <w:rPr>
          <w:rFonts w:ascii="黑体" w:eastAsia="黑体" w:hAnsi="宋体"/>
          <w:color w:val="000000"/>
          <w:sz w:val="30"/>
          <w:szCs w:val="30"/>
          <w:u w:val="single"/>
        </w:rPr>
      </w:pPr>
      <w:r>
        <w:rPr>
          <w:rFonts w:ascii="黑体" w:eastAsia="黑体" w:hAnsi="宋体" w:hint="eastAsia"/>
          <w:spacing w:val="58"/>
          <w:sz w:val="30"/>
          <w:szCs w:val="30"/>
        </w:rPr>
        <w:t>E-mail</w:t>
      </w:r>
      <w:r w:rsidRPr="004259CF">
        <w:rPr>
          <w:rFonts w:ascii="黑体" w:eastAsia="黑体" w:hAnsi="宋体" w:hint="eastAsia"/>
          <w:color w:val="000000"/>
          <w:sz w:val="30"/>
          <w:szCs w:val="30"/>
          <w:u w:val="single"/>
        </w:rPr>
        <w:t xml:space="preserve"> </w:t>
      </w:r>
      <w:r>
        <w:rPr>
          <w:rFonts w:ascii="黑体" w:eastAsia="黑体" w:hAnsi="宋体" w:hint="eastAsia"/>
          <w:color w:val="000000"/>
          <w:sz w:val="30"/>
          <w:szCs w:val="30"/>
          <w:u w:val="single"/>
        </w:rPr>
        <w:t xml:space="preserve">   </w:t>
      </w:r>
      <w:r>
        <w:rPr>
          <w:rFonts w:ascii="黑体" w:eastAsia="黑体" w:hAnsi="宋体"/>
          <w:color w:val="000000"/>
          <w:sz w:val="30"/>
          <w:szCs w:val="30"/>
          <w:u w:val="single"/>
        </w:rPr>
        <w:t xml:space="preserve">  </w:t>
      </w:r>
      <w:r w:rsidR="0001749B" w:rsidRPr="0001749B">
        <w:rPr>
          <w:rFonts w:ascii="黑体" w:eastAsia="黑体" w:hAnsi="宋体" w:hint="eastAsia"/>
          <w:color w:val="000000"/>
          <w:sz w:val="16"/>
          <w:szCs w:val="30"/>
          <w:u w:val="single"/>
        </w:rPr>
        <w:t xml:space="preserve"> </w:t>
      </w:r>
      <w:r w:rsidR="0001749B">
        <w:rPr>
          <w:rFonts w:ascii="黑体" w:eastAsia="黑体" w:hAnsi="宋体" w:hint="eastAsia"/>
          <w:color w:val="000000"/>
          <w:sz w:val="30"/>
          <w:szCs w:val="30"/>
          <w:u w:val="single"/>
        </w:rPr>
        <w:t xml:space="preserve">    </w:t>
      </w:r>
      <w:r>
        <w:rPr>
          <w:rFonts w:ascii="黑体" w:eastAsia="黑体" w:hAnsi="宋体" w:hint="eastAsia"/>
          <w:color w:val="000000"/>
          <w:sz w:val="30"/>
          <w:szCs w:val="30"/>
          <w:u w:val="single"/>
        </w:rPr>
        <w:t xml:space="preserve">                          </w:t>
      </w:r>
    </w:p>
    <w:p w:rsidR="00D67BE8" w:rsidRDefault="00EE050D" w:rsidP="0001749B">
      <w:pPr>
        <w:spacing w:line="760" w:lineRule="exact"/>
        <w:ind w:rightChars="107" w:right="225" w:firstLineChars="200" w:firstLine="600"/>
        <w:rPr>
          <w:rFonts w:ascii="黑体" w:eastAsia="黑体" w:hAnsi="宋体"/>
          <w:color w:val="000000"/>
          <w:sz w:val="30"/>
          <w:szCs w:val="30"/>
          <w:u w:val="single"/>
        </w:rPr>
      </w:pPr>
      <w:r>
        <w:rPr>
          <w:rFonts w:ascii="黑体" w:eastAsia="黑体" w:hAnsi="宋体" w:hint="eastAsia"/>
          <w:color w:val="000000"/>
          <w:sz w:val="30"/>
          <w:szCs w:val="30"/>
        </w:rPr>
        <w:t>申请日期</w:t>
      </w:r>
      <w:r>
        <w:rPr>
          <w:rFonts w:ascii="黑体" w:eastAsia="黑体" w:hAnsi="宋体" w:hint="eastAsia"/>
          <w:color w:val="000000"/>
          <w:sz w:val="30"/>
          <w:szCs w:val="30"/>
          <w:u w:val="single"/>
        </w:rPr>
        <w:t xml:space="preserve">     </w:t>
      </w:r>
      <w:r>
        <w:rPr>
          <w:rFonts w:ascii="黑体" w:eastAsia="黑体" w:hAnsi="宋体"/>
          <w:color w:val="000000"/>
          <w:sz w:val="30"/>
          <w:szCs w:val="30"/>
          <w:u w:val="single"/>
        </w:rPr>
        <w:t xml:space="preserve">  </w:t>
      </w:r>
      <w:r w:rsidR="0001749B">
        <w:rPr>
          <w:rFonts w:ascii="黑体" w:eastAsia="黑体" w:hAnsi="宋体" w:hint="eastAsia"/>
          <w:color w:val="000000"/>
          <w:sz w:val="30"/>
          <w:szCs w:val="30"/>
          <w:u w:val="single"/>
        </w:rPr>
        <w:t xml:space="preserve">  </w:t>
      </w:r>
      <w:r>
        <w:rPr>
          <w:rFonts w:ascii="黑体" w:eastAsia="黑体" w:hAnsi="宋体"/>
          <w:color w:val="000000"/>
          <w:sz w:val="30"/>
          <w:szCs w:val="30"/>
          <w:u w:val="single"/>
        </w:rPr>
        <w:t xml:space="preserve">   </w:t>
      </w:r>
      <w:r w:rsidRPr="00514B0C">
        <w:rPr>
          <w:rFonts w:ascii="Times New Roman" w:eastAsia="黑体" w:hAnsi="Times New Roman"/>
          <w:color w:val="000000"/>
          <w:sz w:val="30"/>
          <w:szCs w:val="30"/>
          <w:u w:val="single"/>
        </w:rPr>
        <w:t xml:space="preserve"> </w:t>
      </w:r>
      <w:r w:rsidRPr="00514B0C">
        <w:rPr>
          <w:rFonts w:ascii="Times New Roman" w:eastAsia="黑体" w:hAnsi="Times New Roman" w:hint="eastAsia"/>
          <w:color w:val="000000"/>
          <w:sz w:val="30"/>
          <w:szCs w:val="30"/>
          <w:u w:val="single"/>
        </w:rPr>
        <w:t>2019</w:t>
      </w:r>
      <w:r w:rsidRPr="004259CF">
        <w:rPr>
          <w:rFonts w:ascii="Times New Roman" w:eastAsia="黑体" w:hAnsi="Times New Roman" w:hint="eastAsia"/>
          <w:b/>
          <w:color w:val="000000"/>
          <w:sz w:val="30"/>
          <w:szCs w:val="30"/>
          <w:u w:val="single"/>
        </w:rPr>
        <w:t>年</w:t>
      </w:r>
      <w:r w:rsidRPr="00514B0C">
        <w:rPr>
          <w:rFonts w:ascii="Times New Roman" w:eastAsia="黑体" w:hAnsi="Times New Roman" w:hint="eastAsia"/>
          <w:color w:val="000000"/>
          <w:sz w:val="30"/>
          <w:szCs w:val="30"/>
          <w:u w:val="single"/>
        </w:rPr>
        <w:t>5</w:t>
      </w:r>
      <w:r w:rsidRPr="004259CF">
        <w:rPr>
          <w:rFonts w:ascii="Times New Roman" w:eastAsia="黑体" w:hAnsi="Times New Roman" w:hint="eastAsia"/>
          <w:b/>
          <w:color w:val="000000"/>
          <w:sz w:val="30"/>
          <w:szCs w:val="30"/>
          <w:u w:val="single"/>
        </w:rPr>
        <w:t>月</w:t>
      </w:r>
      <w:r w:rsidRPr="00514B0C">
        <w:rPr>
          <w:rFonts w:ascii="Times New Roman" w:eastAsia="黑体" w:hAnsi="Times New Roman" w:hint="eastAsia"/>
          <w:color w:val="000000"/>
          <w:sz w:val="30"/>
          <w:szCs w:val="30"/>
          <w:u w:val="single"/>
        </w:rPr>
        <w:t>8</w:t>
      </w:r>
      <w:r w:rsidRPr="004259CF">
        <w:rPr>
          <w:rFonts w:ascii="Times New Roman" w:eastAsia="黑体" w:hAnsi="Times New Roman" w:hint="eastAsia"/>
          <w:b/>
          <w:color w:val="000000"/>
          <w:sz w:val="30"/>
          <w:szCs w:val="30"/>
          <w:u w:val="single"/>
        </w:rPr>
        <w:t>日</w:t>
      </w:r>
      <w:r>
        <w:rPr>
          <w:rFonts w:ascii="黑体" w:eastAsia="黑体" w:hAnsi="宋体" w:hint="eastAsia"/>
          <w:color w:val="000000"/>
          <w:sz w:val="30"/>
          <w:szCs w:val="30"/>
          <w:u w:val="single"/>
        </w:rPr>
        <w:t xml:space="preserve">                           </w:t>
      </w:r>
    </w:p>
    <w:p w:rsidR="0001749B" w:rsidRDefault="00EE050D" w:rsidP="0001749B">
      <w:pPr>
        <w:spacing w:line="760" w:lineRule="exact"/>
        <w:ind w:rightChars="107" w:right="225" w:firstLineChars="200" w:firstLine="600"/>
        <w:rPr>
          <w:rFonts w:ascii="黑体" w:eastAsia="黑体" w:hAnsi="宋体"/>
          <w:color w:val="000000"/>
          <w:sz w:val="30"/>
          <w:szCs w:val="30"/>
          <w:u w:val="single"/>
        </w:rPr>
      </w:pPr>
      <w:r>
        <w:rPr>
          <w:rFonts w:ascii="黑体" w:eastAsia="黑体" w:hAnsi="宋体" w:hint="eastAsia"/>
          <w:color w:val="000000"/>
          <w:sz w:val="30"/>
          <w:szCs w:val="30"/>
        </w:rPr>
        <w:t>起止年月</w:t>
      </w:r>
      <w:r>
        <w:rPr>
          <w:rFonts w:ascii="黑体" w:eastAsia="黑体" w:hAnsi="宋体" w:hint="eastAsia"/>
          <w:color w:val="000000"/>
          <w:sz w:val="30"/>
          <w:szCs w:val="30"/>
          <w:u w:val="single"/>
        </w:rPr>
        <w:t xml:space="preserve"> </w:t>
      </w:r>
      <w:r w:rsidRPr="0001749B">
        <w:rPr>
          <w:rFonts w:ascii="黑体" w:eastAsia="黑体" w:hAnsi="宋体" w:hint="eastAsia"/>
          <w:color w:val="000000"/>
          <w:sz w:val="20"/>
          <w:szCs w:val="30"/>
          <w:u w:val="single"/>
        </w:rPr>
        <w:t xml:space="preserve"> </w:t>
      </w:r>
      <w:r>
        <w:rPr>
          <w:rFonts w:ascii="黑体" w:eastAsia="黑体" w:hAnsi="宋体"/>
          <w:color w:val="000000"/>
          <w:sz w:val="30"/>
          <w:szCs w:val="30"/>
          <w:u w:val="single"/>
        </w:rPr>
        <w:t xml:space="preserve">   </w:t>
      </w:r>
      <w:r w:rsidR="002D33AF">
        <w:rPr>
          <w:rFonts w:ascii="黑体" w:eastAsia="黑体" w:hAnsi="宋体"/>
          <w:color w:val="000000"/>
          <w:sz w:val="30"/>
          <w:szCs w:val="30"/>
          <w:u w:val="single"/>
        </w:rPr>
        <w:t xml:space="preserve">     </w:t>
      </w:r>
      <w:r w:rsidRPr="00514B0C">
        <w:rPr>
          <w:rFonts w:ascii="Times New Roman" w:eastAsia="黑体" w:hAnsi="Times New Roman" w:hint="eastAsia"/>
          <w:color w:val="000000"/>
          <w:sz w:val="30"/>
          <w:szCs w:val="30"/>
          <w:u w:val="single"/>
        </w:rPr>
        <w:t>2019</w:t>
      </w:r>
      <w:r w:rsidRPr="004259CF">
        <w:rPr>
          <w:rFonts w:ascii="Times New Roman" w:eastAsia="黑体" w:hAnsi="Times New Roman" w:hint="eastAsia"/>
          <w:b/>
          <w:color w:val="000000"/>
          <w:sz w:val="30"/>
          <w:szCs w:val="30"/>
          <w:u w:val="single"/>
        </w:rPr>
        <w:t>年</w:t>
      </w:r>
      <w:r w:rsidRPr="00514B0C">
        <w:rPr>
          <w:rFonts w:ascii="Times New Roman" w:eastAsia="黑体" w:hAnsi="Times New Roman" w:hint="eastAsia"/>
          <w:color w:val="000000"/>
          <w:sz w:val="30"/>
          <w:szCs w:val="30"/>
          <w:u w:val="single"/>
        </w:rPr>
        <w:t>5</w:t>
      </w:r>
      <w:r w:rsidRPr="004259CF">
        <w:rPr>
          <w:rFonts w:ascii="Times New Roman" w:eastAsia="黑体" w:hAnsi="Times New Roman" w:hint="eastAsia"/>
          <w:b/>
          <w:color w:val="000000"/>
          <w:sz w:val="30"/>
          <w:szCs w:val="30"/>
          <w:u w:val="single"/>
        </w:rPr>
        <w:t>月</w:t>
      </w:r>
      <w:r w:rsidRPr="004259CF">
        <w:rPr>
          <w:rFonts w:ascii="Times New Roman" w:eastAsia="黑体" w:hAnsi="Times New Roman" w:hint="eastAsia"/>
          <w:b/>
          <w:color w:val="000000"/>
          <w:sz w:val="30"/>
          <w:szCs w:val="30"/>
          <w:u w:val="single"/>
        </w:rPr>
        <w:t>-</w:t>
      </w:r>
      <w:r w:rsidRPr="00514B0C">
        <w:rPr>
          <w:rFonts w:ascii="Times New Roman" w:eastAsia="黑体" w:hAnsi="Times New Roman" w:hint="eastAsia"/>
          <w:color w:val="000000"/>
          <w:sz w:val="30"/>
          <w:szCs w:val="30"/>
          <w:u w:val="single"/>
        </w:rPr>
        <w:t>2021</w:t>
      </w:r>
      <w:r w:rsidRPr="004259CF">
        <w:rPr>
          <w:rFonts w:ascii="Times New Roman" w:eastAsia="黑体" w:hAnsi="Times New Roman" w:hint="eastAsia"/>
          <w:b/>
          <w:color w:val="000000"/>
          <w:sz w:val="30"/>
          <w:szCs w:val="30"/>
          <w:u w:val="single"/>
        </w:rPr>
        <w:t>年</w:t>
      </w:r>
      <w:r w:rsidRPr="00514B0C">
        <w:rPr>
          <w:rFonts w:ascii="Times New Roman" w:eastAsia="黑体" w:hAnsi="Times New Roman" w:hint="eastAsia"/>
          <w:color w:val="000000"/>
          <w:sz w:val="30"/>
          <w:szCs w:val="30"/>
          <w:u w:val="single"/>
        </w:rPr>
        <w:t>5</w:t>
      </w:r>
      <w:r w:rsidRPr="004259CF">
        <w:rPr>
          <w:rFonts w:ascii="Times New Roman" w:eastAsia="黑体" w:hAnsi="Times New Roman" w:hint="eastAsia"/>
          <w:b/>
          <w:color w:val="000000"/>
          <w:sz w:val="30"/>
          <w:szCs w:val="30"/>
          <w:u w:val="single"/>
        </w:rPr>
        <w:t>月</w:t>
      </w:r>
      <w:r>
        <w:rPr>
          <w:rFonts w:ascii="黑体" w:eastAsia="黑体" w:hAnsi="宋体" w:hint="eastAsia"/>
          <w:color w:val="000000"/>
          <w:sz w:val="30"/>
          <w:szCs w:val="30"/>
          <w:u w:val="single"/>
        </w:rPr>
        <w:t xml:space="preserve">    </w:t>
      </w:r>
      <w:r>
        <w:rPr>
          <w:rFonts w:ascii="黑体" w:eastAsia="黑体" w:hAnsi="宋体" w:hint="eastAsia"/>
          <w:b/>
          <w:color w:val="000000"/>
          <w:sz w:val="30"/>
          <w:szCs w:val="30"/>
          <w:u w:val="single"/>
        </w:rPr>
        <w:t xml:space="preserve"> </w:t>
      </w:r>
      <w:r>
        <w:rPr>
          <w:rFonts w:ascii="黑体" w:eastAsia="黑体" w:hAnsi="宋体" w:hint="eastAsia"/>
          <w:color w:val="000000"/>
          <w:sz w:val="30"/>
          <w:szCs w:val="30"/>
          <w:u w:val="single"/>
        </w:rPr>
        <w:t xml:space="preserve">       </w:t>
      </w:r>
    </w:p>
    <w:p w:rsidR="00D67BE8" w:rsidRDefault="00D67BE8" w:rsidP="0001749B">
      <w:pPr>
        <w:spacing w:line="760" w:lineRule="exact"/>
        <w:ind w:rightChars="107" w:right="225" w:firstLineChars="200" w:firstLine="600"/>
        <w:rPr>
          <w:rFonts w:ascii="黑体" w:eastAsia="黑体" w:hAnsi="宋体"/>
          <w:color w:val="000000"/>
          <w:sz w:val="30"/>
          <w:szCs w:val="30"/>
          <w:u w:val="single"/>
        </w:rPr>
      </w:pPr>
    </w:p>
    <w:p w:rsidR="00D67BE8" w:rsidRDefault="00EE050D">
      <w:pPr>
        <w:tabs>
          <w:tab w:val="left" w:pos="2850"/>
          <w:tab w:val="center" w:pos="4153"/>
          <w:tab w:val="left" w:pos="5745"/>
        </w:tabs>
        <w:spacing w:before="1560" w:line="240" w:lineRule="exact"/>
        <w:jc w:val="left"/>
        <w:rPr>
          <w:rFonts w:ascii="黑体" w:eastAsia="黑体" w:hAnsi="宋体"/>
          <w:sz w:val="30"/>
          <w:szCs w:val="30"/>
        </w:rPr>
      </w:pPr>
      <w:r>
        <w:rPr>
          <w:rFonts w:ascii="黑体" w:eastAsia="黑体" w:hAnsi="宋体" w:hint="eastAsia"/>
          <w:sz w:val="30"/>
          <w:szCs w:val="30"/>
        </w:rPr>
        <w:tab/>
      </w:r>
      <w:r>
        <w:rPr>
          <w:rFonts w:ascii="黑体" w:eastAsia="黑体" w:hAnsi="宋体" w:hint="eastAsia"/>
          <w:sz w:val="30"/>
          <w:szCs w:val="30"/>
        </w:rPr>
        <w:tab/>
        <w:t>湘潭大学</w:t>
      </w:r>
      <w:r>
        <w:rPr>
          <w:rFonts w:ascii="黑体" w:eastAsia="黑体" w:hAnsi="宋体" w:hint="eastAsia"/>
          <w:sz w:val="30"/>
          <w:szCs w:val="30"/>
        </w:rPr>
        <w:tab/>
      </w:r>
    </w:p>
    <w:p w:rsidR="0001749B" w:rsidRDefault="00EE050D">
      <w:pPr>
        <w:jc w:val="center"/>
        <w:rPr>
          <w:b/>
          <w:sz w:val="36"/>
          <w:szCs w:val="36"/>
        </w:rPr>
      </w:pPr>
      <w:r>
        <w:rPr>
          <w:b/>
          <w:sz w:val="36"/>
          <w:szCs w:val="36"/>
        </w:rPr>
        <w:br w:type="page"/>
      </w:r>
    </w:p>
    <w:p w:rsidR="0001749B" w:rsidRDefault="0001749B">
      <w:pPr>
        <w:jc w:val="center"/>
        <w:rPr>
          <w:b/>
          <w:sz w:val="36"/>
          <w:szCs w:val="36"/>
        </w:rPr>
      </w:pPr>
    </w:p>
    <w:p w:rsidR="00D67BE8" w:rsidRDefault="00D67BE8">
      <w:pPr>
        <w:spacing w:before="120" w:line="580" w:lineRule="exact"/>
        <w:ind w:firstLine="624"/>
        <w:rPr>
          <w:rFonts w:ascii="仿宋_GB2312" w:eastAsia="仿宋_GB2312"/>
          <w:sz w:val="28"/>
          <w:szCs w:val="28"/>
        </w:rPr>
      </w:pPr>
    </w:p>
    <w:p w:rsidR="00256846" w:rsidRDefault="00256846">
      <w:pPr>
        <w:numPr>
          <w:ilvl w:val="1"/>
          <w:numId w:val="2"/>
        </w:numPr>
        <w:tabs>
          <w:tab w:val="clear" w:pos="1532"/>
          <w:tab w:val="left" w:pos="720"/>
        </w:tabs>
        <w:spacing w:beforeLines="50" w:before="156" w:afterLines="50" w:after="156" w:line="300" w:lineRule="auto"/>
        <w:ind w:left="0" w:right="567" w:firstLine="0"/>
        <w:rPr>
          <w:rFonts w:ascii="黑体" w:eastAsia="黑体" w:hAnsi="宋体"/>
          <w:sz w:val="28"/>
        </w:rPr>
        <w:sectPr w:rsidR="00256846">
          <w:pgSz w:w="11906" w:h="16838"/>
          <w:pgMar w:top="1440" w:right="1800" w:bottom="1440" w:left="1800" w:header="851" w:footer="992" w:gutter="0"/>
          <w:cols w:space="425"/>
          <w:docGrid w:type="lines" w:linePitch="312"/>
        </w:sectPr>
      </w:pPr>
    </w:p>
    <w:p w:rsidR="00D67BE8" w:rsidRDefault="00EE050D">
      <w:pPr>
        <w:numPr>
          <w:ilvl w:val="1"/>
          <w:numId w:val="2"/>
        </w:numPr>
        <w:tabs>
          <w:tab w:val="clear" w:pos="1532"/>
          <w:tab w:val="left" w:pos="720"/>
        </w:tabs>
        <w:spacing w:beforeLines="50" w:before="156" w:afterLines="50" w:after="156" w:line="300" w:lineRule="auto"/>
        <w:ind w:left="0" w:right="567" w:firstLine="0"/>
        <w:rPr>
          <w:rFonts w:eastAsia="黑体"/>
          <w:bCs/>
          <w:sz w:val="28"/>
        </w:rPr>
      </w:pPr>
      <w:r>
        <w:rPr>
          <w:rFonts w:eastAsia="黑体" w:hint="eastAsia"/>
          <w:bCs/>
          <w:sz w:val="28"/>
        </w:rPr>
        <w:lastRenderedPageBreak/>
        <w:t>基本情况</w:t>
      </w:r>
    </w:p>
    <w:tbl>
      <w:tblPr>
        <w:tblW w:w="882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567"/>
        <w:gridCol w:w="273"/>
        <w:gridCol w:w="960"/>
        <w:gridCol w:w="752"/>
        <w:gridCol w:w="850"/>
        <w:gridCol w:w="567"/>
        <w:gridCol w:w="709"/>
        <w:gridCol w:w="362"/>
        <w:gridCol w:w="840"/>
        <w:gridCol w:w="357"/>
        <w:gridCol w:w="783"/>
        <w:gridCol w:w="15"/>
        <w:gridCol w:w="1785"/>
      </w:tblGrid>
      <w:tr w:rsidR="00D67BE8" w:rsidTr="000435DF">
        <w:trPr>
          <w:cantSplit/>
          <w:trHeight w:val="680"/>
          <w:jc w:val="center"/>
        </w:trPr>
        <w:tc>
          <w:tcPr>
            <w:tcW w:w="840" w:type="dxa"/>
            <w:gridSpan w:val="2"/>
            <w:tcBorders>
              <w:top w:val="single" w:sz="6" w:space="0" w:color="auto"/>
              <w:left w:val="single" w:sz="6" w:space="0" w:color="auto"/>
              <w:bottom w:val="single" w:sz="4" w:space="0" w:color="auto"/>
              <w:right w:val="single" w:sz="4" w:space="0" w:color="auto"/>
            </w:tcBorders>
            <w:vAlign w:val="center"/>
          </w:tcPr>
          <w:p w:rsidR="00D67BE8" w:rsidRDefault="00EE050D">
            <w:pPr>
              <w:jc w:val="center"/>
              <w:rPr>
                <w:sz w:val="24"/>
              </w:rPr>
            </w:pPr>
            <w:r>
              <w:rPr>
                <w:rFonts w:hint="eastAsia"/>
                <w:sz w:val="24"/>
              </w:rPr>
              <w:t>项目</w:t>
            </w:r>
          </w:p>
          <w:p w:rsidR="00D67BE8" w:rsidRDefault="00EE050D">
            <w:pPr>
              <w:spacing w:line="240" w:lineRule="exact"/>
              <w:jc w:val="center"/>
              <w:rPr>
                <w:sz w:val="24"/>
              </w:rPr>
            </w:pPr>
            <w:r>
              <w:rPr>
                <w:rFonts w:hint="eastAsia"/>
                <w:sz w:val="24"/>
              </w:rPr>
              <w:t>名称</w:t>
            </w:r>
          </w:p>
        </w:tc>
        <w:tc>
          <w:tcPr>
            <w:tcW w:w="7980" w:type="dxa"/>
            <w:gridSpan w:val="11"/>
            <w:tcBorders>
              <w:top w:val="single" w:sz="6" w:space="0" w:color="auto"/>
              <w:left w:val="nil"/>
              <w:right w:val="single" w:sz="6" w:space="0" w:color="auto"/>
            </w:tcBorders>
            <w:vAlign w:val="center"/>
          </w:tcPr>
          <w:p w:rsidR="00D67BE8" w:rsidRDefault="00EE050D" w:rsidP="0001749B">
            <w:pPr>
              <w:widowControl/>
              <w:tabs>
                <w:tab w:val="left" w:pos="2025"/>
                <w:tab w:val="center" w:pos="4082"/>
              </w:tabs>
              <w:jc w:val="center"/>
              <w:rPr>
                <w:rFonts w:ascii="楷体_GB2312" w:eastAsia="楷体_GB2312"/>
                <w:sz w:val="24"/>
              </w:rPr>
            </w:pPr>
            <w:r w:rsidRPr="0001749B">
              <w:rPr>
                <w:rFonts w:ascii="Times New Roman" w:hint="eastAsia"/>
                <w:b/>
                <w:sz w:val="24"/>
              </w:rPr>
              <w:t>铈基催化剂催化性能及协同脱硝机理</w:t>
            </w:r>
          </w:p>
        </w:tc>
      </w:tr>
      <w:tr w:rsidR="00D67BE8" w:rsidTr="000435DF">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D67BE8" w:rsidRDefault="00EE050D">
            <w:pPr>
              <w:jc w:val="center"/>
              <w:rPr>
                <w:sz w:val="24"/>
              </w:rPr>
            </w:pPr>
            <w:r>
              <w:rPr>
                <w:rFonts w:hint="eastAsia"/>
                <w:sz w:val="24"/>
              </w:rPr>
              <w:t>所属</w:t>
            </w:r>
          </w:p>
          <w:p w:rsidR="00D67BE8" w:rsidRDefault="00EE050D">
            <w:pPr>
              <w:jc w:val="center"/>
              <w:rPr>
                <w:sz w:val="24"/>
              </w:rPr>
            </w:pPr>
            <w:r>
              <w:rPr>
                <w:rFonts w:hint="eastAsia"/>
                <w:sz w:val="24"/>
              </w:rPr>
              <w:t>学科</w:t>
            </w:r>
          </w:p>
        </w:tc>
        <w:tc>
          <w:tcPr>
            <w:tcW w:w="1712" w:type="dxa"/>
            <w:gridSpan w:val="2"/>
            <w:tcBorders>
              <w:top w:val="nil"/>
              <w:left w:val="nil"/>
              <w:bottom w:val="single" w:sz="4" w:space="0" w:color="auto"/>
              <w:right w:val="single" w:sz="6" w:space="0" w:color="auto"/>
            </w:tcBorders>
            <w:vAlign w:val="center"/>
          </w:tcPr>
          <w:p w:rsidR="00D67BE8" w:rsidRDefault="00EE050D">
            <w:pPr>
              <w:widowControl/>
              <w:tabs>
                <w:tab w:val="left" w:pos="2025"/>
                <w:tab w:val="center" w:pos="4082"/>
              </w:tabs>
              <w:jc w:val="left"/>
              <w:rPr>
                <w:sz w:val="24"/>
              </w:rPr>
            </w:pPr>
            <w:r>
              <w:rPr>
                <w:rFonts w:hint="eastAsia"/>
                <w:sz w:val="24"/>
              </w:rPr>
              <w:t>学科一级门：</w:t>
            </w:r>
          </w:p>
        </w:tc>
        <w:tc>
          <w:tcPr>
            <w:tcW w:w="2126" w:type="dxa"/>
            <w:gridSpan w:val="3"/>
            <w:tcBorders>
              <w:top w:val="nil"/>
              <w:left w:val="nil"/>
              <w:bottom w:val="single" w:sz="4" w:space="0" w:color="auto"/>
              <w:right w:val="single" w:sz="6" w:space="0" w:color="auto"/>
            </w:tcBorders>
            <w:vAlign w:val="center"/>
          </w:tcPr>
          <w:p w:rsidR="00D67BE8" w:rsidRPr="0001749B" w:rsidRDefault="00EE050D" w:rsidP="0001749B">
            <w:pPr>
              <w:widowControl/>
              <w:tabs>
                <w:tab w:val="left" w:pos="2025"/>
                <w:tab w:val="center" w:pos="4082"/>
              </w:tabs>
              <w:jc w:val="center"/>
              <w:rPr>
                <w:rFonts w:ascii="Times New Roman"/>
                <w:b/>
                <w:sz w:val="24"/>
              </w:rPr>
            </w:pPr>
            <w:r w:rsidRPr="0001749B">
              <w:rPr>
                <w:rFonts w:ascii="Times New Roman" w:hint="eastAsia"/>
                <w:b/>
                <w:sz w:val="24"/>
              </w:rPr>
              <w:t>工学</w:t>
            </w:r>
          </w:p>
        </w:tc>
        <w:tc>
          <w:tcPr>
            <w:tcW w:w="1559" w:type="dxa"/>
            <w:gridSpan w:val="3"/>
            <w:tcBorders>
              <w:top w:val="nil"/>
              <w:left w:val="nil"/>
              <w:bottom w:val="single" w:sz="4" w:space="0" w:color="auto"/>
              <w:right w:val="single" w:sz="6" w:space="0" w:color="auto"/>
            </w:tcBorders>
            <w:vAlign w:val="center"/>
          </w:tcPr>
          <w:p w:rsidR="00D67BE8" w:rsidRDefault="00EE050D">
            <w:pPr>
              <w:widowControl/>
              <w:tabs>
                <w:tab w:val="left" w:pos="2025"/>
                <w:tab w:val="center" w:pos="4082"/>
              </w:tabs>
              <w:jc w:val="left"/>
              <w:rPr>
                <w:sz w:val="24"/>
              </w:rPr>
            </w:pPr>
            <w:r>
              <w:rPr>
                <w:rFonts w:hint="eastAsia"/>
                <w:sz w:val="24"/>
              </w:rPr>
              <w:t>学科二级类：</w:t>
            </w:r>
          </w:p>
        </w:tc>
        <w:tc>
          <w:tcPr>
            <w:tcW w:w="2583" w:type="dxa"/>
            <w:gridSpan w:val="3"/>
            <w:tcBorders>
              <w:top w:val="nil"/>
              <w:left w:val="nil"/>
              <w:bottom w:val="single" w:sz="4" w:space="0" w:color="auto"/>
              <w:right w:val="single" w:sz="6" w:space="0" w:color="auto"/>
            </w:tcBorders>
            <w:vAlign w:val="center"/>
          </w:tcPr>
          <w:p w:rsidR="00D67BE8" w:rsidRPr="0001749B" w:rsidRDefault="00EE050D">
            <w:pPr>
              <w:widowControl/>
              <w:tabs>
                <w:tab w:val="left" w:pos="2025"/>
                <w:tab w:val="center" w:pos="4082"/>
              </w:tabs>
              <w:jc w:val="left"/>
              <w:rPr>
                <w:b/>
                <w:sz w:val="24"/>
              </w:rPr>
            </w:pPr>
            <w:r w:rsidRPr="0001749B">
              <w:rPr>
                <w:rFonts w:hint="eastAsia"/>
                <w:b/>
                <w:sz w:val="24"/>
              </w:rPr>
              <w:t>环境科学与环境工程类</w:t>
            </w:r>
          </w:p>
        </w:tc>
      </w:tr>
      <w:tr w:rsidR="00D67BE8" w:rsidTr="000435DF">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D67BE8" w:rsidRDefault="00EE050D">
            <w:pPr>
              <w:jc w:val="center"/>
              <w:rPr>
                <w:sz w:val="24"/>
              </w:rPr>
            </w:pPr>
            <w:r>
              <w:rPr>
                <w:rFonts w:hint="eastAsia"/>
                <w:sz w:val="24"/>
              </w:rPr>
              <w:t>申请</w:t>
            </w:r>
          </w:p>
          <w:p w:rsidR="00D67BE8" w:rsidRDefault="00EE050D">
            <w:pPr>
              <w:jc w:val="center"/>
              <w:rPr>
                <w:sz w:val="24"/>
              </w:rPr>
            </w:pPr>
            <w:r>
              <w:rPr>
                <w:rFonts w:hint="eastAsia"/>
                <w:sz w:val="24"/>
              </w:rPr>
              <w:t>金额</w:t>
            </w:r>
          </w:p>
        </w:tc>
        <w:tc>
          <w:tcPr>
            <w:tcW w:w="2562" w:type="dxa"/>
            <w:gridSpan w:val="3"/>
            <w:tcBorders>
              <w:top w:val="single" w:sz="4" w:space="0" w:color="auto"/>
              <w:left w:val="nil"/>
              <w:bottom w:val="single" w:sz="4" w:space="0" w:color="auto"/>
            </w:tcBorders>
            <w:vAlign w:val="center"/>
          </w:tcPr>
          <w:p w:rsidR="00D67BE8" w:rsidRPr="0001749B" w:rsidRDefault="00EE050D">
            <w:pPr>
              <w:jc w:val="center"/>
              <w:rPr>
                <w:b/>
                <w:sz w:val="24"/>
              </w:rPr>
            </w:pPr>
            <w:r w:rsidRPr="0001749B">
              <w:rPr>
                <w:rFonts w:ascii="Times New Roman" w:hAnsi="Times New Roman"/>
                <w:b/>
                <w:sz w:val="24"/>
              </w:rPr>
              <w:t>10000</w:t>
            </w:r>
            <w:r w:rsidRPr="0001749B">
              <w:rPr>
                <w:rFonts w:hint="eastAsia"/>
                <w:b/>
                <w:sz w:val="24"/>
              </w:rPr>
              <w:t>元</w:t>
            </w:r>
          </w:p>
        </w:tc>
        <w:tc>
          <w:tcPr>
            <w:tcW w:w="1276" w:type="dxa"/>
            <w:gridSpan w:val="2"/>
            <w:tcBorders>
              <w:top w:val="single" w:sz="4" w:space="0" w:color="auto"/>
              <w:bottom w:val="single" w:sz="4" w:space="0" w:color="auto"/>
            </w:tcBorders>
            <w:vAlign w:val="center"/>
          </w:tcPr>
          <w:p w:rsidR="00D67BE8" w:rsidRDefault="00EE050D">
            <w:pPr>
              <w:jc w:val="center"/>
              <w:rPr>
                <w:sz w:val="24"/>
              </w:rPr>
            </w:pPr>
            <w:r>
              <w:rPr>
                <w:rFonts w:hint="eastAsia"/>
                <w:sz w:val="24"/>
              </w:rPr>
              <w:t>起止年月</w:t>
            </w:r>
          </w:p>
        </w:tc>
        <w:tc>
          <w:tcPr>
            <w:tcW w:w="4142" w:type="dxa"/>
            <w:gridSpan w:val="6"/>
            <w:tcBorders>
              <w:top w:val="single" w:sz="4" w:space="0" w:color="auto"/>
              <w:bottom w:val="single" w:sz="4" w:space="0" w:color="auto"/>
              <w:right w:val="single" w:sz="6" w:space="0" w:color="auto"/>
            </w:tcBorders>
            <w:vAlign w:val="center"/>
          </w:tcPr>
          <w:p w:rsidR="00D67BE8" w:rsidRPr="0001749B" w:rsidRDefault="00EE050D" w:rsidP="0001749B">
            <w:pPr>
              <w:jc w:val="center"/>
              <w:rPr>
                <w:b/>
                <w:sz w:val="24"/>
              </w:rPr>
            </w:pPr>
            <w:r w:rsidRPr="0001749B">
              <w:rPr>
                <w:rFonts w:ascii="Times New Roman" w:hAnsi="Times New Roman"/>
                <w:b/>
                <w:sz w:val="24"/>
              </w:rPr>
              <w:t>2019</w:t>
            </w:r>
            <w:r w:rsidRPr="0001749B">
              <w:rPr>
                <w:rFonts w:hint="eastAsia"/>
                <w:b/>
                <w:sz w:val="24"/>
              </w:rPr>
              <w:t>年</w:t>
            </w:r>
            <w:r w:rsidRPr="0001749B">
              <w:rPr>
                <w:rFonts w:ascii="Times New Roman" w:hAnsi="Times New Roman"/>
                <w:b/>
                <w:sz w:val="24"/>
              </w:rPr>
              <w:t>5</w:t>
            </w:r>
            <w:r w:rsidRPr="0001749B">
              <w:rPr>
                <w:rFonts w:hint="eastAsia"/>
                <w:b/>
                <w:sz w:val="24"/>
              </w:rPr>
              <w:t>月至</w:t>
            </w:r>
            <w:r w:rsidRPr="0001749B">
              <w:rPr>
                <w:rFonts w:ascii="Times New Roman" w:hAnsi="Times New Roman"/>
                <w:b/>
                <w:sz w:val="24"/>
              </w:rPr>
              <w:t>2021</w:t>
            </w:r>
            <w:r w:rsidRPr="0001749B">
              <w:rPr>
                <w:rFonts w:hint="eastAsia"/>
                <w:b/>
                <w:sz w:val="24"/>
              </w:rPr>
              <w:t>年</w:t>
            </w:r>
            <w:r w:rsidRPr="0001749B">
              <w:rPr>
                <w:rFonts w:ascii="Times New Roman" w:hAnsi="Times New Roman"/>
                <w:b/>
                <w:sz w:val="24"/>
              </w:rPr>
              <w:t>5</w:t>
            </w:r>
            <w:r w:rsidRPr="0001749B">
              <w:rPr>
                <w:rFonts w:hint="eastAsia"/>
                <w:b/>
                <w:sz w:val="24"/>
              </w:rPr>
              <w:t>月</w:t>
            </w:r>
          </w:p>
        </w:tc>
      </w:tr>
      <w:tr w:rsidR="00D67BE8" w:rsidTr="000435DF">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D67BE8" w:rsidRDefault="00EE050D">
            <w:pPr>
              <w:jc w:val="center"/>
              <w:rPr>
                <w:sz w:val="24"/>
              </w:rPr>
            </w:pPr>
            <w:r>
              <w:rPr>
                <w:rFonts w:hint="eastAsia"/>
                <w:sz w:val="24"/>
              </w:rPr>
              <w:t>负责人</w:t>
            </w:r>
          </w:p>
          <w:p w:rsidR="00D67BE8" w:rsidRDefault="00EE050D">
            <w:pPr>
              <w:jc w:val="center"/>
              <w:rPr>
                <w:sz w:val="24"/>
              </w:rPr>
            </w:pPr>
            <w:r>
              <w:rPr>
                <w:rFonts w:hint="eastAsia"/>
                <w:sz w:val="24"/>
              </w:rPr>
              <w:t>姓名</w:t>
            </w:r>
          </w:p>
        </w:tc>
        <w:tc>
          <w:tcPr>
            <w:tcW w:w="1712" w:type="dxa"/>
            <w:gridSpan w:val="2"/>
            <w:tcBorders>
              <w:top w:val="single" w:sz="4" w:space="0" w:color="auto"/>
              <w:left w:val="nil"/>
              <w:bottom w:val="single" w:sz="4" w:space="0" w:color="auto"/>
              <w:right w:val="single" w:sz="4" w:space="0" w:color="auto"/>
            </w:tcBorders>
            <w:vAlign w:val="center"/>
          </w:tcPr>
          <w:p w:rsidR="00D67BE8" w:rsidRDefault="00D67BE8" w:rsidP="0001749B">
            <w:pPr>
              <w:widowControl/>
              <w:tabs>
                <w:tab w:val="left" w:pos="2025"/>
                <w:tab w:val="center" w:pos="4082"/>
              </w:tabs>
              <w:jc w:val="center"/>
              <w:rPr>
                <w:sz w:val="24"/>
              </w:rPr>
            </w:pPr>
            <w:bookmarkStart w:id="0" w:name="_GoBack"/>
            <w:bookmarkEnd w:id="0"/>
          </w:p>
        </w:tc>
        <w:tc>
          <w:tcPr>
            <w:tcW w:w="850" w:type="dxa"/>
            <w:tcBorders>
              <w:top w:val="single" w:sz="4" w:space="0" w:color="auto"/>
              <w:left w:val="nil"/>
              <w:bottom w:val="single" w:sz="4" w:space="0" w:color="auto"/>
              <w:right w:val="single" w:sz="4" w:space="0" w:color="auto"/>
            </w:tcBorders>
            <w:vAlign w:val="center"/>
          </w:tcPr>
          <w:p w:rsidR="00D67BE8" w:rsidRDefault="00D67BE8" w:rsidP="0001749B">
            <w:pPr>
              <w:jc w:val="center"/>
              <w:rPr>
                <w:sz w:val="24"/>
              </w:rPr>
            </w:pPr>
          </w:p>
        </w:tc>
        <w:tc>
          <w:tcPr>
            <w:tcW w:w="567" w:type="dxa"/>
            <w:tcBorders>
              <w:top w:val="single" w:sz="4" w:space="0" w:color="auto"/>
              <w:left w:val="single" w:sz="4" w:space="0" w:color="auto"/>
              <w:bottom w:val="single" w:sz="4" w:space="0" w:color="auto"/>
              <w:right w:val="single" w:sz="4" w:space="0" w:color="auto"/>
            </w:tcBorders>
            <w:vAlign w:val="center"/>
          </w:tcPr>
          <w:p w:rsidR="00D67BE8" w:rsidRDefault="00D67BE8" w:rsidP="0001749B">
            <w:pPr>
              <w:widowControl/>
              <w:tabs>
                <w:tab w:val="left" w:pos="2025"/>
                <w:tab w:val="center" w:pos="4082"/>
              </w:tabs>
              <w:jc w:val="center"/>
              <w:rPr>
                <w:sz w:val="24"/>
              </w:rPr>
            </w:pPr>
          </w:p>
        </w:tc>
        <w:tc>
          <w:tcPr>
            <w:tcW w:w="709" w:type="dxa"/>
            <w:tcBorders>
              <w:top w:val="single" w:sz="4" w:space="0" w:color="auto"/>
              <w:left w:val="single" w:sz="4" w:space="0" w:color="auto"/>
              <w:bottom w:val="single" w:sz="4" w:space="0" w:color="auto"/>
              <w:right w:val="single" w:sz="4" w:space="0" w:color="auto"/>
            </w:tcBorders>
            <w:vAlign w:val="center"/>
          </w:tcPr>
          <w:p w:rsidR="00D67BE8" w:rsidRDefault="00D67BE8">
            <w:pPr>
              <w:jc w:val="center"/>
              <w:rPr>
                <w:sz w:val="24"/>
              </w:rPr>
            </w:pPr>
          </w:p>
        </w:tc>
        <w:tc>
          <w:tcPr>
            <w:tcW w:w="1202" w:type="dxa"/>
            <w:gridSpan w:val="2"/>
            <w:tcBorders>
              <w:top w:val="single" w:sz="4" w:space="0" w:color="auto"/>
              <w:left w:val="single" w:sz="4" w:space="0" w:color="auto"/>
              <w:bottom w:val="single" w:sz="4" w:space="0" w:color="auto"/>
              <w:right w:val="single" w:sz="4" w:space="0" w:color="auto"/>
            </w:tcBorders>
            <w:vAlign w:val="center"/>
          </w:tcPr>
          <w:p w:rsidR="00D67BE8" w:rsidRDefault="00D67BE8" w:rsidP="0001749B">
            <w:pPr>
              <w:ind w:firstLineChars="200" w:firstLine="480"/>
              <w:rPr>
                <w:sz w:val="24"/>
              </w:rPr>
            </w:pPr>
          </w:p>
        </w:tc>
        <w:tc>
          <w:tcPr>
            <w:tcW w:w="1155" w:type="dxa"/>
            <w:gridSpan w:val="3"/>
            <w:tcBorders>
              <w:top w:val="single" w:sz="4" w:space="0" w:color="auto"/>
              <w:left w:val="single" w:sz="4" w:space="0" w:color="auto"/>
              <w:bottom w:val="single" w:sz="4" w:space="0" w:color="auto"/>
              <w:right w:val="single" w:sz="4" w:space="0" w:color="auto"/>
            </w:tcBorders>
            <w:vAlign w:val="center"/>
          </w:tcPr>
          <w:p w:rsidR="00D67BE8" w:rsidRDefault="00D67BE8">
            <w:pPr>
              <w:jc w:val="center"/>
              <w:rPr>
                <w:sz w:val="24"/>
              </w:rPr>
            </w:pPr>
          </w:p>
        </w:tc>
        <w:tc>
          <w:tcPr>
            <w:tcW w:w="1785" w:type="dxa"/>
            <w:tcBorders>
              <w:top w:val="single" w:sz="4" w:space="0" w:color="auto"/>
              <w:left w:val="single" w:sz="4" w:space="0" w:color="auto"/>
              <w:bottom w:val="single" w:sz="4" w:space="0" w:color="auto"/>
              <w:right w:val="single" w:sz="6" w:space="0" w:color="auto"/>
            </w:tcBorders>
            <w:vAlign w:val="center"/>
          </w:tcPr>
          <w:p w:rsidR="00D67BE8" w:rsidRDefault="00D67BE8" w:rsidP="0001749B">
            <w:pPr>
              <w:widowControl/>
              <w:tabs>
                <w:tab w:val="left" w:pos="2025"/>
                <w:tab w:val="center" w:pos="4082"/>
              </w:tabs>
              <w:jc w:val="center"/>
              <w:rPr>
                <w:sz w:val="24"/>
              </w:rPr>
            </w:pPr>
          </w:p>
        </w:tc>
      </w:tr>
      <w:tr w:rsidR="00D67BE8" w:rsidTr="000435DF">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D67BE8" w:rsidRDefault="00EE050D">
            <w:pPr>
              <w:jc w:val="center"/>
              <w:rPr>
                <w:sz w:val="24"/>
              </w:rPr>
            </w:pPr>
            <w:r>
              <w:rPr>
                <w:rFonts w:hint="eastAsia"/>
                <w:sz w:val="24"/>
              </w:rPr>
              <w:t>学号</w:t>
            </w:r>
          </w:p>
        </w:tc>
        <w:tc>
          <w:tcPr>
            <w:tcW w:w="1712" w:type="dxa"/>
            <w:gridSpan w:val="2"/>
            <w:tcBorders>
              <w:top w:val="single" w:sz="4" w:space="0" w:color="auto"/>
              <w:left w:val="nil"/>
              <w:bottom w:val="single" w:sz="4" w:space="0" w:color="auto"/>
              <w:right w:val="single" w:sz="4" w:space="0" w:color="auto"/>
            </w:tcBorders>
            <w:vAlign w:val="center"/>
          </w:tcPr>
          <w:p w:rsidR="00D67BE8" w:rsidRPr="0001749B" w:rsidRDefault="00D67BE8" w:rsidP="0001749B">
            <w:pPr>
              <w:widowControl/>
              <w:tabs>
                <w:tab w:val="left" w:pos="2025"/>
                <w:tab w:val="center" w:pos="4082"/>
              </w:tabs>
              <w:jc w:val="center"/>
              <w:rPr>
                <w:rFonts w:ascii="Times New Roman"/>
                <w:b/>
                <w:sz w:val="24"/>
              </w:rPr>
            </w:pPr>
          </w:p>
        </w:tc>
        <w:tc>
          <w:tcPr>
            <w:tcW w:w="850" w:type="dxa"/>
            <w:tcBorders>
              <w:top w:val="single" w:sz="4" w:space="0" w:color="auto"/>
              <w:left w:val="nil"/>
              <w:bottom w:val="single" w:sz="4" w:space="0" w:color="auto"/>
              <w:right w:val="single" w:sz="4" w:space="0" w:color="auto"/>
            </w:tcBorders>
            <w:vAlign w:val="center"/>
          </w:tcPr>
          <w:p w:rsidR="00D67BE8" w:rsidRDefault="00D67BE8" w:rsidP="0001749B">
            <w:pPr>
              <w:jc w:val="center"/>
              <w:rPr>
                <w:sz w:val="24"/>
              </w:rPr>
            </w:pPr>
          </w:p>
        </w:tc>
        <w:tc>
          <w:tcPr>
            <w:tcW w:w="5418" w:type="dxa"/>
            <w:gridSpan w:val="8"/>
            <w:tcBorders>
              <w:top w:val="single" w:sz="4" w:space="0" w:color="auto"/>
              <w:left w:val="single" w:sz="4" w:space="0" w:color="auto"/>
              <w:bottom w:val="single" w:sz="4" w:space="0" w:color="auto"/>
              <w:right w:val="single" w:sz="6" w:space="0" w:color="auto"/>
            </w:tcBorders>
            <w:vAlign w:val="center"/>
          </w:tcPr>
          <w:p w:rsidR="00D67BE8" w:rsidRDefault="00D67BE8">
            <w:pPr>
              <w:ind w:firstLineChars="200" w:firstLine="480"/>
              <w:rPr>
                <w:sz w:val="24"/>
              </w:rPr>
            </w:pPr>
          </w:p>
        </w:tc>
      </w:tr>
      <w:tr w:rsidR="00D67BE8" w:rsidTr="000435DF">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D67BE8" w:rsidRDefault="00EE050D">
            <w:pPr>
              <w:jc w:val="center"/>
              <w:rPr>
                <w:sz w:val="24"/>
              </w:rPr>
            </w:pPr>
            <w:r>
              <w:rPr>
                <w:rFonts w:hint="eastAsia"/>
                <w:sz w:val="24"/>
              </w:rPr>
              <w:t>指导</w:t>
            </w:r>
          </w:p>
          <w:p w:rsidR="00D67BE8" w:rsidRDefault="00EE050D">
            <w:pPr>
              <w:jc w:val="center"/>
              <w:rPr>
                <w:sz w:val="24"/>
              </w:rPr>
            </w:pPr>
            <w:r>
              <w:rPr>
                <w:rFonts w:hint="eastAsia"/>
                <w:sz w:val="24"/>
              </w:rPr>
              <w:t>教师</w:t>
            </w:r>
          </w:p>
        </w:tc>
        <w:tc>
          <w:tcPr>
            <w:tcW w:w="1712" w:type="dxa"/>
            <w:gridSpan w:val="2"/>
            <w:tcBorders>
              <w:top w:val="single" w:sz="4" w:space="0" w:color="auto"/>
              <w:left w:val="nil"/>
              <w:bottom w:val="single" w:sz="4" w:space="0" w:color="auto"/>
              <w:right w:val="single" w:sz="4" w:space="0" w:color="auto"/>
            </w:tcBorders>
            <w:vAlign w:val="center"/>
          </w:tcPr>
          <w:p w:rsidR="00D67BE8" w:rsidRPr="0001749B" w:rsidRDefault="00D67BE8" w:rsidP="0001749B">
            <w:pPr>
              <w:widowControl/>
              <w:tabs>
                <w:tab w:val="left" w:pos="2025"/>
                <w:tab w:val="center" w:pos="4082"/>
              </w:tabs>
              <w:jc w:val="center"/>
              <w:rPr>
                <w:rFonts w:ascii="Times New Roman"/>
                <w:b/>
                <w:sz w:val="24"/>
              </w:rPr>
            </w:pPr>
          </w:p>
        </w:tc>
        <w:tc>
          <w:tcPr>
            <w:tcW w:w="850" w:type="dxa"/>
            <w:tcBorders>
              <w:top w:val="single" w:sz="4" w:space="0" w:color="auto"/>
              <w:left w:val="nil"/>
              <w:bottom w:val="single" w:sz="4" w:space="0" w:color="auto"/>
              <w:right w:val="single" w:sz="4" w:space="0" w:color="auto"/>
            </w:tcBorders>
            <w:vAlign w:val="center"/>
          </w:tcPr>
          <w:p w:rsidR="00D67BE8" w:rsidRDefault="00D67BE8" w:rsidP="0001749B">
            <w:pPr>
              <w:jc w:val="center"/>
              <w:rPr>
                <w:sz w:val="24"/>
              </w:rPr>
            </w:pPr>
          </w:p>
        </w:tc>
        <w:tc>
          <w:tcPr>
            <w:tcW w:w="5418" w:type="dxa"/>
            <w:gridSpan w:val="8"/>
            <w:tcBorders>
              <w:top w:val="single" w:sz="4" w:space="0" w:color="auto"/>
              <w:left w:val="single" w:sz="4" w:space="0" w:color="auto"/>
              <w:bottom w:val="single" w:sz="4" w:space="0" w:color="auto"/>
              <w:right w:val="single" w:sz="6" w:space="0" w:color="auto"/>
            </w:tcBorders>
            <w:vAlign w:val="center"/>
          </w:tcPr>
          <w:p w:rsidR="00D67BE8" w:rsidRDefault="00D67BE8">
            <w:pPr>
              <w:ind w:firstLineChars="200" w:firstLine="480"/>
              <w:rPr>
                <w:sz w:val="24"/>
              </w:rPr>
            </w:pPr>
          </w:p>
        </w:tc>
      </w:tr>
      <w:tr w:rsidR="00D67BE8" w:rsidTr="000435DF">
        <w:trPr>
          <w:cantSplit/>
          <w:trHeight w:val="714"/>
          <w:jc w:val="center"/>
        </w:trPr>
        <w:tc>
          <w:tcPr>
            <w:tcW w:w="1800" w:type="dxa"/>
            <w:gridSpan w:val="3"/>
            <w:tcBorders>
              <w:top w:val="single" w:sz="4" w:space="0" w:color="auto"/>
              <w:left w:val="single" w:sz="6" w:space="0" w:color="auto"/>
              <w:bottom w:val="single" w:sz="4" w:space="0" w:color="auto"/>
              <w:right w:val="single" w:sz="4" w:space="0" w:color="auto"/>
            </w:tcBorders>
            <w:vAlign w:val="center"/>
          </w:tcPr>
          <w:p w:rsidR="00D67BE8" w:rsidRDefault="00EE050D">
            <w:pPr>
              <w:rPr>
                <w:sz w:val="24"/>
              </w:rPr>
            </w:pPr>
            <w:r>
              <w:rPr>
                <w:rFonts w:hint="eastAsia"/>
                <w:sz w:val="24"/>
              </w:rPr>
              <w:t>负责人曾经参与科研的情况</w:t>
            </w:r>
          </w:p>
        </w:tc>
        <w:tc>
          <w:tcPr>
            <w:tcW w:w="7020" w:type="dxa"/>
            <w:gridSpan w:val="10"/>
            <w:tcBorders>
              <w:top w:val="single" w:sz="4" w:space="0" w:color="auto"/>
              <w:left w:val="nil"/>
              <w:bottom w:val="single" w:sz="4" w:space="0" w:color="auto"/>
              <w:right w:val="single" w:sz="6" w:space="0" w:color="auto"/>
            </w:tcBorders>
            <w:vAlign w:val="center"/>
          </w:tcPr>
          <w:p w:rsidR="00D67BE8" w:rsidRDefault="00EE050D" w:rsidP="0001749B">
            <w:pPr>
              <w:rPr>
                <w:sz w:val="24"/>
              </w:rPr>
            </w:pPr>
            <w:r>
              <w:rPr>
                <w:rFonts w:hint="eastAsia"/>
                <w:sz w:val="24"/>
              </w:rPr>
              <w:t>无</w:t>
            </w:r>
          </w:p>
        </w:tc>
      </w:tr>
      <w:tr w:rsidR="00D67BE8" w:rsidTr="000435DF">
        <w:trPr>
          <w:cantSplit/>
          <w:trHeight w:val="2115"/>
          <w:jc w:val="center"/>
        </w:trPr>
        <w:tc>
          <w:tcPr>
            <w:tcW w:w="1800" w:type="dxa"/>
            <w:gridSpan w:val="3"/>
            <w:tcBorders>
              <w:top w:val="single" w:sz="4" w:space="0" w:color="auto"/>
              <w:left w:val="single" w:sz="6" w:space="0" w:color="auto"/>
              <w:bottom w:val="single" w:sz="4" w:space="0" w:color="auto"/>
              <w:right w:val="single" w:sz="4" w:space="0" w:color="auto"/>
            </w:tcBorders>
            <w:vAlign w:val="center"/>
          </w:tcPr>
          <w:p w:rsidR="00D67BE8" w:rsidRDefault="00EE050D">
            <w:pPr>
              <w:rPr>
                <w:sz w:val="24"/>
              </w:rPr>
            </w:pPr>
            <w:r>
              <w:rPr>
                <w:rFonts w:hint="eastAsia"/>
                <w:sz w:val="24"/>
              </w:rPr>
              <w:t>指导教师承担科研课题情况</w:t>
            </w:r>
          </w:p>
        </w:tc>
        <w:tc>
          <w:tcPr>
            <w:tcW w:w="7020" w:type="dxa"/>
            <w:gridSpan w:val="10"/>
            <w:tcBorders>
              <w:top w:val="single" w:sz="4" w:space="0" w:color="auto"/>
              <w:left w:val="nil"/>
              <w:bottom w:val="single" w:sz="4" w:space="0" w:color="auto"/>
              <w:right w:val="single" w:sz="6" w:space="0" w:color="auto"/>
            </w:tcBorders>
            <w:vAlign w:val="center"/>
          </w:tcPr>
          <w:p w:rsidR="00D67BE8" w:rsidRDefault="00EE050D" w:rsidP="0001749B">
            <w:pPr>
              <w:pStyle w:val="ae"/>
              <w:numPr>
                <w:ilvl w:val="0"/>
                <w:numId w:val="3"/>
              </w:numPr>
              <w:spacing w:after="0" w:line="380" w:lineRule="exact"/>
              <w:ind w:firstLineChars="0" w:hanging="539"/>
              <w:rPr>
                <w:rFonts w:ascii="Times New Roman" w:eastAsia="宋体" w:hAnsi="Times New Roman"/>
                <w:kern w:val="2"/>
                <w:sz w:val="24"/>
              </w:rPr>
            </w:pPr>
            <w:r>
              <w:rPr>
                <w:rFonts w:ascii="Times New Roman" w:eastAsia="宋体" w:hAnsi="Times New Roman"/>
                <w:kern w:val="2"/>
                <w:sz w:val="24"/>
              </w:rPr>
              <w:t xml:space="preserve">2018.08-2020.08  </w:t>
            </w:r>
            <w:r>
              <w:rPr>
                <w:rFonts w:ascii="Times New Roman" w:eastAsia="宋体" w:hAnsi="Times New Roman"/>
                <w:kern w:val="2"/>
                <w:sz w:val="24"/>
              </w:rPr>
              <w:t>改性活性焦</w:t>
            </w:r>
            <w:r>
              <w:rPr>
                <w:rFonts w:ascii="Times New Roman" w:eastAsia="宋体" w:hAnsi="Times New Roman"/>
                <w:kern w:val="2"/>
                <w:sz w:val="24"/>
              </w:rPr>
              <w:t>/</w:t>
            </w:r>
            <w:r>
              <w:rPr>
                <w:rFonts w:ascii="Times New Roman" w:eastAsia="宋体" w:hAnsi="Times New Roman"/>
                <w:kern w:val="2"/>
                <w:sz w:val="24"/>
              </w:rPr>
              <w:t>炭脱除高硫</w:t>
            </w:r>
            <w:r>
              <w:rPr>
                <w:rFonts w:ascii="Times New Roman" w:eastAsia="宋体" w:hAnsi="Times New Roman"/>
                <w:kern w:val="2"/>
                <w:sz w:val="24"/>
              </w:rPr>
              <w:t>VOCs</w:t>
            </w:r>
            <w:r>
              <w:rPr>
                <w:rFonts w:ascii="Times New Roman" w:eastAsia="宋体" w:hAnsi="Times New Roman"/>
                <w:kern w:val="2"/>
                <w:sz w:val="24"/>
              </w:rPr>
              <w:t>及其再生性能研究；</w:t>
            </w:r>
          </w:p>
          <w:p w:rsidR="00D67BE8" w:rsidRDefault="00EE050D" w:rsidP="0001749B">
            <w:pPr>
              <w:pStyle w:val="ae"/>
              <w:numPr>
                <w:ilvl w:val="0"/>
                <w:numId w:val="3"/>
              </w:numPr>
              <w:spacing w:after="0" w:line="380" w:lineRule="exact"/>
              <w:ind w:firstLineChars="0" w:hanging="539"/>
              <w:rPr>
                <w:rFonts w:ascii="Times New Roman" w:eastAsia="宋体" w:hAnsi="Times New Roman"/>
                <w:kern w:val="2"/>
                <w:sz w:val="24"/>
              </w:rPr>
            </w:pPr>
            <w:r>
              <w:rPr>
                <w:rFonts w:ascii="Times New Roman" w:eastAsia="宋体" w:hAnsi="Times New Roman"/>
                <w:kern w:val="2"/>
                <w:sz w:val="24"/>
              </w:rPr>
              <w:t xml:space="preserve">2019.01-2021.12 </w:t>
            </w:r>
            <w:r>
              <w:rPr>
                <w:rFonts w:ascii="Times New Roman" w:eastAsia="宋体" w:hAnsi="Times New Roman"/>
                <w:kern w:val="2"/>
                <w:sz w:val="24"/>
              </w:rPr>
              <w:t>基于结构调控的铈基催化剂低温脱硝协同控制</w:t>
            </w:r>
            <w:r>
              <w:rPr>
                <w:rFonts w:ascii="Times New Roman" w:eastAsia="宋体" w:hAnsi="Times New Roman"/>
                <w:kern w:val="2"/>
                <w:sz w:val="24"/>
              </w:rPr>
              <w:t>VOCs</w:t>
            </w:r>
            <w:r>
              <w:rPr>
                <w:rFonts w:ascii="Times New Roman" w:eastAsia="宋体" w:hAnsi="Times New Roman"/>
                <w:kern w:val="2"/>
                <w:sz w:val="24"/>
              </w:rPr>
              <w:t>机理研究；</w:t>
            </w:r>
          </w:p>
          <w:p w:rsidR="00D67BE8" w:rsidRDefault="00EE050D" w:rsidP="0001749B">
            <w:pPr>
              <w:pStyle w:val="ae"/>
              <w:numPr>
                <w:ilvl w:val="0"/>
                <w:numId w:val="3"/>
              </w:numPr>
              <w:spacing w:after="0" w:line="380" w:lineRule="exact"/>
              <w:ind w:firstLineChars="0" w:hanging="539"/>
              <w:rPr>
                <w:rFonts w:ascii="Times New Roman" w:eastAsia="楷体_GB2312" w:hAnsi="Times New Roman"/>
                <w:sz w:val="24"/>
                <w:szCs w:val="24"/>
              </w:rPr>
            </w:pPr>
            <w:r>
              <w:rPr>
                <w:rFonts w:ascii="Times New Roman" w:eastAsia="宋体" w:hAnsi="Times New Roman"/>
                <w:kern w:val="2"/>
                <w:sz w:val="24"/>
              </w:rPr>
              <w:t>2017.08-2022.12  SCR</w:t>
            </w:r>
            <w:r>
              <w:rPr>
                <w:rFonts w:ascii="Times New Roman" w:eastAsia="宋体" w:hAnsi="Times New Roman"/>
                <w:kern w:val="2"/>
                <w:sz w:val="24"/>
              </w:rPr>
              <w:t>催化剂改性协同控制燃煤烟气氮氧化物和汞的机理研究。</w:t>
            </w:r>
          </w:p>
        </w:tc>
      </w:tr>
      <w:tr w:rsidR="00D67BE8" w:rsidTr="000435DF">
        <w:trPr>
          <w:cantSplit/>
          <w:trHeight w:val="1606"/>
          <w:jc w:val="center"/>
        </w:trPr>
        <w:tc>
          <w:tcPr>
            <w:tcW w:w="1800" w:type="dxa"/>
            <w:gridSpan w:val="3"/>
            <w:tcBorders>
              <w:top w:val="single" w:sz="4" w:space="0" w:color="auto"/>
              <w:left w:val="single" w:sz="6" w:space="0" w:color="auto"/>
              <w:bottom w:val="nil"/>
              <w:right w:val="single" w:sz="4" w:space="0" w:color="auto"/>
            </w:tcBorders>
            <w:vAlign w:val="center"/>
          </w:tcPr>
          <w:p w:rsidR="00D67BE8" w:rsidRDefault="00EE050D">
            <w:pPr>
              <w:rPr>
                <w:sz w:val="24"/>
              </w:rPr>
            </w:pPr>
            <w:r>
              <w:rPr>
                <w:rFonts w:hint="eastAsia"/>
                <w:sz w:val="24"/>
              </w:rPr>
              <w:t>指导教师对本项目的支持情况</w:t>
            </w:r>
          </w:p>
        </w:tc>
        <w:tc>
          <w:tcPr>
            <w:tcW w:w="7020" w:type="dxa"/>
            <w:gridSpan w:val="10"/>
            <w:tcBorders>
              <w:top w:val="single" w:sz="4" w:space="0" w:color="auto"/>
              <w:left w:val="nil"/>
              <w:bottom w:val="single" w:sz="4" w:space="0" w:color="auto"/>
              <w:right w:val="single" w:sz="6" w:space="0" w:color="auto"/>
            </w:tcBorders>
            <w:vAlign w:val="center"/>
          </w:tcPr>
          <w:p w:rsidR="00D67BE8" w:rsidRDefault="00EE050D" w:rsidP="0001749B">
            <w:pPr>
              <w:widowControl/>
              <w:adjustRightInd w:val="0"/>
              <w:snapToGrid w:val="0"/>
              <w:spacing w:line="380" w:lineRule="exact"/>
              <w:ind w:firstLineChars="200" w:firstLine="480"/>
              <w:jc w:val="left"/>
              <w:rPr>
                <w:sz w:val="24"/>
              </w:rPr>
            </w:pPr>
            <w:r>
              <w:rPr>
                <w:rFonts w:hint="eastAsia"/>
                <w:sz w:val="24"/>
              </w:rPr>
              <w:t>指导老师主要研究方向为氮氧化物，汞以及</w:t>
            </w:r>
            <w:r>
              <w:rPr>
                <w:rFonts w:ascii="Times New Roman" w:hAnsi="Times New Roman"/>
                <w:sz w:val="24"/>
              </w:rPr>
              <w:t>VOCs</w:t>
            </w:r>
            <w:r>
              <w:rPr>
                <w:rFonts w:hint="eastAsia"/>
                <w:sz w:val="24"/>
              </w:rPr>
              <w:t>等大气污染物协同控制，环境催化与材料的制备与应用。主持和参与国家自然科学基金、湖南省重点研发计划、湖南省自然科学基金等多项国家级及省部级课题。在大气污染控制方面具有丰富的科研经验，能够提供本项目所需的实验条件；同时，对本项目的实施开展，问题的分析及解决问题的方案等提供全过程的指导，为本项目的顺利进行和完成提供了良好的条件和指导。</w:t>
            </w:r>
          </w:p>
        </w:tc>
      </w:tr>
      <w:tr w:rsidR="00D67BE8" w:rsidTr="000435DF">
        <w:tblPrEx>
          <w:tblCellMar>
            <w:left w:w="0" w:type="dxa"/>
            <w:right w:w="0" w:type="dxa"/>
          </w:tblCellMar>
        </w:tblPrEx>
        <w:trPr>
          <w:cantSplit/>
          <w:trHeight w:val="510"/>
          <w:jc w:val="center"/>
        </w:trPr>
        <w:tc>
          <w:tcPr>
            <w:tcW w:w="567" w:type="dxa"/>
            <w:vMerge w:val="restart"/>
            <w:tcBorders>
              <w:top w:val="single" w:sz="4" w:space="0" w:color="auto"/>
              <w:left w:val="single" w:sz="4" w:space="0" w:color="auto"/>
              <w:bottom w:val="single" w:sz="4" w:space="0" w:color="auto"/>
              <w:right w:val="nil"/>
            </w:tcBorders>
            <w:vAlign w:val="center"/>
          </w:tcPr>
          <w:p w:rsidR="00D67BE8" w:rsidRDefault="00EE050D">
            <w:pPr>
              <w:jc w:val="center"/>
              <w:rPr>
                <w:sz w:val="24"/>
              </w:rPr>
            </w:pPr>
            <w:r>
              <w:rPr>
                <w:rFonts w:hint="eastAsia"/>
                <w:sz w:val="24"/>
              </w:rPr>
              <w:t>项</w:t>
            </w:r>
          </w:p>
          <w:p w:rsidR="00D67BE8" w:rsidRDefault="00EE050D">
            <w:pPr>
              <w:jc w:val="center"/>
              <w:rPr>
                <w:sz w:val="24"/>
              </w:rPr>
            </w:pPr>
            <w:r>
              <w:rPr>
                <w:rFonts w:hint="eastAsia"/>
                <w:sz w:val="24"/>
              </w:rPr>
              <w:t>目</w:t>
            </w:r>
          </w:p>
          <w:p w:rsidR="00D67BE8" w:rsidRDefault="00EE050D">
            <w:pPr>
              <w:jc w:val="center"/>
              <w:rPr>
                <w:sz w:val="24"/>
              </w:rPr>
            </w:pPr>
            <w:r>
              <w:rPr>
                <w:rFonts w:hint="eastAsia"/>
                <w:sz w:val="24"/>
              </w:rPr>
              <w:t>组</w:t>
            </w:r>
          </w:p>
          <w:p w:rsidR="00D67BE8" w:rsidRDefault="00EE050D">
            <w:pPr>
              <w:jc w:val="center"/>
              <w:rPr>
                <w:sz w:val="24"/>
              </w:rPr>
            </w:pPr>
            <w:r>
              <w:rPr>
                <w:rFonts w:hint="eastAsia"/>
                <w:sz w:val="24"/>
              </w:rPr>
              <w:t>主</w:t>
            </w:r>
          </w:p>
          <w:p w:rsidR="00D67BE8" w:rsidRDefault="00EE050D">
            <w:pPr>
              <w:jc w:val="center"/>
              <w:rPr>
                <w:sz w:val="24"/>
              </w:rPr>
            </w:pPr>
            <w:r>
              <w:rPr>
                <w:rFonts w:hint="eastAsia"/>
                <w:sz w:val="24"/>
              </w:rPr>
              <w:t>要</w:t>
            </w:r>
          </w:p>
          <w:p w:rsidR="00D67BE8" w:rsidRDefault="00EE050D">
            <w:pPr>
              <w:jc w:val="center"/>
              <w:rPr>
                <w:sz w:val="24"/>
              </w:rPr>
            </w:pPr>
            <w:r>
              <w:rPr>
                <w:rFonts w:hint="eastAsia"/>
                <w:sz w:val="24"/>
              </w:rPr>
              <w:t>成</w:t>
            </w:r>
          </w:p>
          <w:p w:rsidR="00D67BE8" w:rsidRDefault="00EE050D">
            <w:pPr>
              <w:jc w:val="center"/>
              <w:rPr>
                <w:sz w:val="24"/>
              </w:rPr>
            </w:pPr>
            <w:r>
              <w:rPr>
                <w:rFonts w:hint="eastAsia"/>
                <w:sz w:val="24"/>
              </w:rPr>
              <w:t>员</w:t>
            </w:r>
          </w:p>
        </w:tc>
        <w:tc>
          <w:tcPr>
            <w:tcW w:w="1233" w:type="dxa"/>
            <w:gridSpan w:val="2"/>
            <w:tcBorders>
              <w:top w:val="single" w:sz="4" w:space="0" w:color="auto"/>
              <w:left w:val="single" w:sz="4" w:space="0" w:color="auto"/>
              <w:bottom w:val="single" w:sz="4" w:space="0" w:color="auto"/>
              <w:right w:val="single" w:sz="4" w:space="0" w:color="auto"/>
            </w:tcBorders>
            <w:vAlign w:val="center"/>
          </w:tcPr>
          <w:p w:rsidR="00D67BE8" w:rsidRDefault="00EE050D">
            <w:pPr>
              <w:jc w:val="center"/>
              <w:rPr>
                <w:sz w:val="24"/>
              </w:rPr>
            </w:pPr>
            <w:r>
              <w:rPr>
                <w:rFonts w:hint="eastAsia"/>
                <w:sz w:val="24"/>
              </w:rPr>
              <w:t>姓</w:t>
            </w:r>
            <w:r>
              <w:rPr>
                <w:rFonts w:hint="eastAsia"/>
                <w:sz w:val="24"/>
              </w:rPr>
              <w:t xml:space="preserve">   </w:t>
            </w:r>
            <w:r>
              <w:rPr>
                <w:rFonts w:hint="eastAsia"/>
                <w:sz w:val="24"/>
              </w:rPr>
              <w:t>名</w:t>
            </w:r>
          </w:p>
        </w:tc>
        <w:tc>
          <w:tcPr>
            <w:tcW w:w="1602" w:type="dxa"/>
            <w:gridSpan w:val="2"/>
            <w:tcBorders>
              <w:top w:val="single" w:sz="4" w:space="0" w:color="auto"/>
              <w:left w:val="nil"/>
              <w:bottom w:val="single" w:sz="4" w:space="0" w:color="auto"/>
              <w:right w:val="single" w:sz="4" w:space="0" w:color="auto"/>
            </w:tcBorders>
            <w:vAlign w:val="center"/>
          </w:tcPr>
          <w:p w:rsidR="00D67BE8" w:rsidRDefault="00EE050D">
            <w:pPr>
              <w:jc w:val="center"/>
              <w:rPr>
                <w:sz w:val="24"/>
              </w:rPr>
            </w:pPr>
            <w:r>
              <w:rPr>
                <w:rFonts w:ascii="宋体" w:hAnsi="宋体" w:hint="eastAsia"/>
                <w:sz w:val="24"/>
              </w:rPr>
              <w:t>学号</w:t>
            </w:r>
          </w:p>
        </w:tc>
        <w:tc>
          <w:tcPr>
            <w:tcW w:w="1638" w:type="dxa"/>
            <w:gridSpan w:val="3"/>
            <w:tcBorders>
              <w:top w:val="single" w:sz="4" w:space="0" w:color="auto"/>
              <w:left w:val="nil"/>
              <w:bottom w:val="single" w:sz="4" w:space="0" w:color="auto"/>
              <w:right w:val="single" w:sz="4" w:space="0" w:color="auto"/>
            </w:tcBorders>
            <w:vAlign w:val="center"/>
          </w:tcPr>
          <w:p w:rsidR="00D67BE8" w:rsidRDefault="00EE050D">
            <w:pPr>
              <w:jc w:val="center"/>
              <w:rPr>
                <w:sz w:val="24"/>
              </w:rPr>
            </w:pPr>
            <w:r>
              <w:rPr>
                <w:rFonts w:hint="eastAsia"/>
                <w:sz w:val="24"/>
              </w:rPr>
              <w:t>专业班级</w:t>
            </w:r>
          </w:p>
        </w:tc>
        <w:tc>
          <w:tcPr>
            <w:tcW w:w="1980" w:type="dxa"/>
            <w:gridSpan w:val="3"/>
            <w:tcBorders>
              <w:top w:val="single" w:sz="4" w:space="0" w:color="auto"/>
              <w:left w:val="nil"/>
              <w:bottom w:val="single" w:sz="4" w:space="0" w:color="auto"/>
              <w:right w:val="single" w:sz="4" w:space="0" w:color="auto"/>
            </w:tcBorders>
            <w:vAlign w:val="center"/>
          </w:tcPr>
          <w:p w:rsidR="00D67BE8" w:rsidRDefault="00EE050D">
            <w:pPr>
              <w:jc w:val="center"/>
              <w:rPr>
                <w:sz w:val="24"/>
              </w:rPr>
            </w:pPr>
            <w:r>
              <w:rPr>
                <w:rFonts w:hint="eastAsia"/>
                <w:sz w:val="24"/>
              </w:rPr>
              <w:t>所在学院</w:t>
            </w:r>
          </w:p>
        </w:tc>
        <w:tc>
          <w:tcPr>
            <w:tcW w:w="1800" w:type="dxa"/>
            <w:gridSpan w:val="2"/>
            <w:tcBorders>
              <w:top w:val="single" w:sz="4" w:space="0" w:color="auto"/>
              <w:left w:val="nil"/>
              <w:bottom w:val="single" w:sz="4" w:space="0" w:color="auto"/>
              <w:right w:val="single" w:sz="4" w:space="0" w:color="auto"/>
            </w:tcBorders>
            <w:vAlign w:val="center"/>
          </w:tcPr>
          <w:p w:rsidR="00D67BE8" w:rsidRDefault="00EE050D">
            <w:pPr>
              <w:jc w:val="center"/>
              <w:rPr>
                <w:sz w:val="24"/>
              </w:rPr>
            </w:pPr>
            <w:r>
              <w:rPr>
                <w:rFonts w:hint="eastAsia"/>
                <w:sz w:val="24"/>
              </w:rPr>
              <w:t>项目中的分工</w:t>
            </w:r>
          </w:p>
        </w:tc>
      </w:tr>
      <w:tr w:rsidR="00D67BE8" w:rsidTr="000435DF">
        <w:tblPrEx>
          <w:tblCellMar>
            <w:left w:w="0" w:type="dxa"/>
            <w:right w:w="0" w:type="dxa"/>
          </w:tblCellMar>
        </w:tblPrEx>
        <w:trPr>
          <w:cantSplit/>
          <w:trHeight w:val="822"/>
          <w:jc w:val="center"/>
        </w:trPr>
        <w:tc>
          <w:tcPr>
            <w:tcW w:w="567" w:type="dxa"/>
            <w:vMerge/>
            <w:tcBorders>
              <w:top w:val="nil"/>
              <w:left w:val="single" w:sz="4" w:space="0" w:color="auto"/>
              <w:bottom w:val="single" w:sz="4" w:space="0" w:color="auto"/>
              <w:right w:val="nil"/>
            </w:tcBorders>
            <w:vAlign w:val="center"/>
          </w:tcPr>
          <w:p w:rsidR="00D67BE8" w:rsidRDefault="00D67BE8">
            <w:pPr>
              <w:spacing w:line="240" w:lineRule="atLeast"/>
              <w:jc w:val="center"/>
              <w:rPr>
                <w:sz w:val="24"/>
              </w:rPr>
            </w:pPr>
          </w:p>
        </w:tc>
        <w:tc>
          <w:tcPr>
            <w:tcW w:w="1233" w:type="dxa"/>
            <w:gridSpan w:val="2"/>
            <w:tcBorders>
              <w:top w:val="single" w:sz="4" w:space="0" w:color="auto"/>
              <w:left w:val="single" w:sz="4" w:space="0" w:color="auto"/>
              <w:bottom w:val="single" w:sz="4" w:space="0" w:color="auto"/>
              <w:right w:val="single" w:sz="4" w:space="0" w:color="auto"/>
            </w:tcBorders>
            <w:vAlign w:val="center"/>
          </w:tcPr>
          <w:p w:rsidR="00D67BE8" w:rsidRDefault="00EE050D">
            <w:pPr>
              <w:jc w:val="center"/>
              <w:rPr>
                <w:rFonts w:ascii="Times New Roman" w:hAnsi="Times New Roman"/>
                <w:sz w:val="24"/>
              </w:rPr>
            </w:pPr>
            <w:r>
              <w:rPr>
                <w:rFonts w:ascii="Times New Roman" w:hAnsi="Times New Roman"/>
                <w:sz w:val="24"/>
              </w:rPr>
              <w:t>黄亚洁</w:t>
            </w:r>
          </w:p>
        </w:tc>
        <w:tc>
          <w:tcPr>
            <w:tcW w:w="1602" w:type="dxa"/>
            <w:gridSpan w:val="2"/>
            <w:tcBorders>
              <w:top w:val="single" w:sz="4" w:space="0" w:color="auto"/>
              <w:left w:val="nil"/>
              <w:bottom w:val="single" w:sz="4" w:space="0" w:color="auto"/>
              <w:right w:val="single" w:sz="4" w:space="0" w:color="auto"/>
            </w:tcBorders>
            <w:vAlign w:val="center"/>
          </w:tcPr>
          <w:p w:rsidR="00D67BE8" w:rsidRDefault="00EE050D">
            <w:pPr>
              <w:jc w:val="center"/>
              <w:rPr>
                <w:rFonts w:ascii="Times New Roman" w:hAnsi="Times New Roman"/>
                <w:sz w:val="24"/>
              </w:rPr>
            </w:pPr>
            <w:r>
              <w:rPr>
                <w:rFonts w:ascii="Times New Roman" w:hAnsi="Times New Roman"/>
                <w:sz w:val="24"/>
              </w:rPr>
              <w:t>201705820635</w:t>
            </w:r>
          </w:p>
        </w:tc>
        <w:tc>
          <w:tcPr>
            <w:tcW w:w="1638" w:type="dxa"/>
            <w:gridSpan w:val="3"/>
            <w:tcBorders>
              <w:top w:val="single" w:sz="4" w:space="0" w:color="auto"/>
              <w:left w:val="nil"/>
              <w:bottom w:val="single" w:sz="4" w:space="0" w:color="auto"/>
              <w:right w:val="single" w:sz="4" w:space="0" w:color="auto"/>
            </w:tcBorders>
            <w:vAlign w:val="center"/>
          </w:tcPr>
          <w:p w:rsidR="00D67BE8" w:rsidRDefault="00EE050D">
            <w:pPr>
              <w:jc w:val="center"/>
              <w:rPr>
                <w:rFonts w:ascii="Times New Roman" w:hAnsi="Times New Roman"/>
                <w:sz w:val="24"/>
              </w:rPr>
            </w:pPr>
            <w:r>
              <w:rPr>
                <w:rFonts w:ascii="Times New Roman" w:hAnsi="Times New Roman"/>
                <w:sz w:val="24"/>
              </w:rPr>
              <w:t>17</w:t>
            </w:r>
            <w:r>
              <w:rPr>
                <w:rFonts w:ascii="Times New Roman" w:hAnsi="Times New Roman"/>
                <w:sz w:val="24"/>
              </w:rPr>
              <w:t>环保设备工程</w:t>
            </w:r>
            <w:r>
              <w:rPr>
                <w:rFonts w:ascii="Times New Roman" w:hAnsi="Times New Roman"/>
                <w:sz w:val="24"/>
              </w:rPr>
              <w:t>1</w:t>
            </w:r>
            <w:r>
              <w:rPr>
                <w:rFonts w:ascii="Times New Roman" w:hAnsi="Times New Roman"/>
                <w:sz w:val="24"/>
              </w:rPr>
              <w:t>班</w:t>
            </w:r>
          </w:p>
        </w:tc>
        <w:tc>
          <w:tcPr>
            <w:tcW w:w="1980" w:type="dxa"/>
            <w:gridSpan w:val="3"/>
            <w:tcBorders>
              <w:top w:val="single" w:sz="4" w:space="0" w:color="auto"/>
              <w:left w:val="nil"/>
              <w:bottom w:val="single" w:sz="4" w:space="0" w:color="auto"/>
              <w:right w:val="single" w:sz="4" w:space="0" w:color="auto"/>
            </w:tcBorders>
            <w:vAlign w:val="center"/>
          </w:tcPr>
          <w:p w:rsidR="00D67BE8" w:rsidRDefault="00EE050D">
            <w:pPr>
              <w:jc w:val="center"/>
              <w:rPr>
                <w:sz w:val="24"/>
              </w:rPr>
            </w:pPr>
            <w:r>
              <w:rPr>
                <w:rFonts w:hint="eastAsia"/>
                <w:sz w:val="24"/>
              </w:rPr>
              <w:t>环境与资源学院</w:t>
            </w:r>
          </w:p>
        </w:tc>
        <w:tc>
          <w:tcPr>
            <w:tcW w:w="1800" w:type="dxa"/>
            <w:gridSpan w:val="2"/>
            <w:tcBorders>
              <w:top w:val="single" w:sz="4" w:space="0" w:color="auto"/>
              <w:left w:val="nil"/>
              <w:bottom w:val="single" w:sz="4" w:space="0" w:color="auto"/>
              <w:right w:val="single" w:sz="4" w:space="0" w:color="auto"/>
            </w:tcBorders>
            <w:vAlign w:val="center"/>
          </w:tcPr>
          <w:p w:rsidR="00D67BE8" w:rsidRDefault="00EE050D" w:rsidP="00DE7B83">
            <w:pPr>
              <w:jc w:val="center"/>
              <w:rPr>
                <w:sz w:val="24"/>
              </w:rPr>
            </w:pPr>
            <w:r>
              <w:rPr>
                <w:rFonts w:hint="eastAsia"/>
                <w:sz w:val="24"/>
              </w:rPr>
              <w:t>催化剂制备</w:t>
            </w:r>
          </w:p>
        </w:tc>
      </w:tr>
      <w:tr w:rsidR="00D67BE8" w:rsidTr="000435DF">
        <w:tblPrEx>
          <w:tblCellMar>
            <w:left w:w="0" w:type="dxa"/>
            <w:right w:w="0" w:type="dxa"/>
          </w:tblCellMar>
        </w:tblPrEx>
        <w:trPr>
          <w:cantSplit/>
          <w:trHeight w:val="822"/>
          <w:jc w:val="center"/>
        </w:trPr>
        <w:tc>
          <w:tcPr>
            <w:tcW w:w="567" w:type="dxa"/>
            <w:vMerge/>
            <w:tcBorders>
              <w:top w:val="nil"/>
              <w:left w:val="single" w:sz="4" w:space="0" w:color="auto"/>
              <w:bottom w:val="single" w:sz="4" w:space="0" w:color="auto"/>
              <w:right w:val="nil"/>
            </w:tcBorders>
            <w:vAlign w:val="center"/>
          </w:tcPr>
          <w:p w:rsidR="00D67BE8" w:rsidRDefault="00D67BE8">
            <w:pPr>
              <w:jc w:val="center"/>
              <w:rPr>
                <w:sz w:val="24"/>
              </w:rPr>
            </w:pPr>
          </w:p>
        </w:tc>
        <w:tc>
          <w:tcPr>
            <w:tcW w:w="1233" w:type="dxa"/>
            <w:gridSpan w:val="2"/>
            <w:tcBorders>
              <w:top w:val="single" w:sz="4" w:space="0" w:color="auto"/>
              <w:left w:val="single" w:sz="4" w:space="0" w:color="auto"/>
              <w:bottom w:val="single" w:sz="4" w:space="0" w:color="auto"/>
              <w:right w:val="single" w:sz="4" w:space="0" w:color="auto"/>
            </w:tcBorders>
            <w:vAlign w:val="center"/>
          </w:tcPr>
          <w:p w:rsidR="00D67BE8" w:rsidRDefault="00EE050D">
            <w:pPr>
              <w:jc w:val="center"/>
              <w:rPr>
                <w:rFonts w:ascii="Times New Roman" w:hAnsi="Times New Roman"/>
                <w:sz w:val="24"/>
              </w:rPr>
            </w:pPr>
            <w:r>
              <w:rPr>
                <w:rFonts w:ascii="Times New Roman" w:hAnsi="Times New Roman"/>
                <w:sz w:val="24"/>
              </w:rPr>
              <w:t>王欣欣</w:t>
            </w:r>
          </w:p>
        </w:tc>
        <w:tc>
          <w:tcPr>
            <w:tcW w:w="1602" w:type="dxa"/>
            <w:gridSpan w:val="2"/>
            <w:tcBorders>
              <w:top w:val="single" w:sz="4" w:space="0" w:color="auto"/>
              <w:left w:val="nil"/>
              <w:bottom w:val="single" w:sz="4" w:space="0" w:color="auto"/>
              <w:right w:val="single" w:sz="4" w:space="0" w:color="auto"/>
            </w:tcBorders>
            <w:vAlign w:val="center"/>
          </w:tcPr>
          <w:p w:rsidR="00D67BE8" w:rsidRDefault="00EE050D">
            <w:pPr>
              <w:jc w:val="center"/>
              <w:rPr>
                <w:rFonts w:ascii="Times New Roman" w:hAnsi="Times New Roman"/>
                <w:sz w:val="24"/>
              </w:rPr>
            </w:pPr>
            <w:r>
              <w:rPr>
                <w:rFonts w:ascii="Times New Roman" w:hAnsi="Times New Roman"/>
                <w:sz w:val="24"/>
              </w:rPr>
              <w:t>201705820633</w:t>
            </w:r>
          </w:p>
        </w:tc>
        <w:tc>
          <w:tcPr>
            <w:tcW w:w="1638" w:type="dxa"/>
            <w:gridSpan w:val="3"/>
            <w:tcBorders>
              <w:top w:val="single" w:sz="4" w:space="0" w:color="auto"/>
              <w:left w:val="nil"/>
              <w:bottom w:val="single" w:sz="4" w:space="0" w:color="auto"/>
              <w:right w:val="single" w:sz="4" w:space="0" w:color="auto"/>
            </w:tcBorders>
            <w:vAlign w:val="center"/>
          </w:tcPr>
          <w:p w:rsidR="00D67BE8" w:rsidRDefault="00EE050D">
            <w:pPr>
              <w:jc w:val="center"/>
              <w:rPr>
                <w:rFonts w:ascii="Times New Roman" w:hAnsi="Times New Roman"/>
                <w:sz w:val="24"/>
              </w:rPr>
            </w:pPr>
            <w:r>
              <w:rPr>
                <w:rFonts w:ascii="Times New Roman" w:hAnsi="Times New Roman"/>
                <w:sz w:val="24"/>
              </w:rPr>
              <w:t>17</w:t>
            </w:r>
            <w:r>
              <w:rPr>
                <w:rFonts w:ascii="Times New Roman" w:hAnsi="Times New Roman"/>
                <w:sz w:val="24"/>
              </w:rPr>
              <w:t>环保设备工程</w:t>
            </w:r>
            <w:r>
              <w:rPr>
                <w:rFonts w:ascii="Times New Roman" w:hAnsi="Times New Roman"/>
                <w:sz w:val="24"/>
              </w:rPr>
              <w:t>1</w:t>
            </w:r>
            <w:r>
              <w:rPr>
                <w:rFonts w:ascii="Times New Roman" w:hAnsi="Times New Roman"/>
                <w:sz w:val="24"/>
              </w:rPr>
              <w:t>班</w:t>
            </w:r>
          </w:p>
        </w:tc>
        <w:tc>
          <w:tcPr>
            <w:tcW w:w="1980" w:type="dxa"/>
            <w:gridSpan w:val="3"/>
            <w:tcBorders>
              <w:top w:val="single" w:sz="4" w:space="0" w:color="auto"/>
              <w:left w:val="nil"/>
              <w:bottom w:val="single" w:sz="4" w:space="0" w:color="auto"/>
              <w:right w:val="single" w:sz="4" w:space="0" w:color="auto"/>
            </w:tcBorders>
            <w:vAlign w:val="center"/>
          </w:tcPr>
          <w:p w:rsidR="00D67BE8" w:rsidRDefault="00EE050D">
            <w:pPr>
              <w:jc w:val="center"/>
              <w:rPr>
                <w:sz w:val="24"/>
              </w:rPr>
            </w:pPr>
            <w:r>
              <w:rPr>
                <w:rFonts w:hint="eastAsia"/>
                <w:sz w:val="24"/>
              </w:rPr>
              <w:t>环境与资源学院</w:t>
            </w:r>
          </w:p>
        </w:tc>
        <w:tc>
          <w:tcPr>
            <w:tcW w:w="1800" w:type="dxa"/>
            <w:gridSpan w:val="2"/>
            <w:tcBorders>
              <w:top w:val="single" w:sz="4" w:space="0" w:color="auto"/>
              <w:left w:val="nil"/>
              <w:bottom w:val="single" w:sz="4" w:space="0" w:color="auto"/>
              <w:right w:val="single" w:sz="4" w:space="0" w:color="auto"/>
            </w:tcBorders>
            <w:vAlign w:val="center"/>
          </w:tcPr>
          <w:p w:rsidR="00D67BE8" w:rsidRDefault="00EE050D" w:rsidP="00DE7B83">
            <w:pPr>
              <w:pStyle w:val="a3"/>
              <w:jc w:val="center"/>
              <w:rPr>
                <w:sz w:val="24"/>
              </w:rPr>
            </w:pPr>
            <w:r>
              <w:rPr>
                <w:rFonts w:asciiTheme="majorEastAsia" w:eastAsiaTheme="majorEastAsia" w:hAnsiTheme="majorEastAsia" w:cstheme="majorEastAsia" w:hint="eastAsia"/>
                <w:sz w:val="24"/>
                <w:szCs w:val="24"/>
              </w:rPr>
              <w:t>催化剂去除</w:t>
            </w:r>
            <w:r>
              <w:rPr>
                <w:rFonts w:ascii="Times New Roman" w:eastAsiaTheme="majorEastAsia" w:hAnsi="Times New Roman"/>
                <w:sz w:val="24"/>
                <w:szCs w:val="24"/>
              </w:rPr>
              <w:t>VOCs</w:t>
            </w:r>
            <w:r>
              <w:rPr>
                <w:rFonts w:asciiTheme="majorEastAsia" w:eastAsiaTheme="majorEastAsia" w:hAnsiTheme="majorEastAsia" w:cstheme="majorEastAsia" w:hint="eastAsia"/>
                <w:sz w:val="24"/>
                <w:szCs w:val="24"/>
              </w:rPr>
              <w:t>性能测试</w:t>
            </w:r>
          </w:p>
        </w:tc>
      </w:tr>
      <w:tr w:rsidR="00D67BE8" w:rsidTr="000435DF">
        <w:tblPrEx>
          <w:tblCellMar>
            <w:left w:w="0" w:type="dxa"/>
            <w:right w:w="0" w:type="dxa"/>
          </w:tblCellMar>
        </w:tblPrEx>
        <w:trPr>
          <w:cantSplit/>
          <w:trHeight w:val="822"/>
          <w:jc w:val="center"/>
        </w:trPr>
        <w:tc>
          <w:tcPr>
            <w:tcW w:w="567" w:type="dxa"/>
            <w:vMerge/>
            <w:tcBorders>
              <w:top w:val="nil"/>
              <w:left w:val="single" w:sz="4" w:space="0" w:color="auto"/>
              <w:bottom w:val="single" w:sz="4" w:space="0" w:color="auto"/>
              <w:right w:val="nil"/>
            </w:tcBorders>
            <w:vAlign w:val="center"/>
          </w:tcPr>
          <w:p w:rsidR="00D67BE8" w:rsidRDefault="00D67BE8">
            <w:pPr>
              <w:jc w:val="center"/>
              <w:rPr>
                <w:sz w:val="24"/>
              </w:rPr>
            </w:pPr>
          </w:p>
        </w:tc>
        <w:tc>
          <w:tcPr>
            <w:tcW w:w="1233" w:type="dxa"/>
            <w:gridSpan w:val="2"/>
            <w:tcBorders>
              <w:top w:val="single" w:sz="4" w:space="0" w:color="auto"/>
              <w:left w:val="single" w:sz="4" w:space="0" w:color="auto"/>
              <w:bottom w:val="single" w:sz="4" w:space="0" w:color="auto"/>
              <w:right w:val="single" w:sz="4" w:space="0" w:color="auto"/>
            </w:tcBorders>
            <w:vAlign w:val="center"/>
          </w:tcPr>
          <w:p w:rsidR="00D67BE8" w:rsidRDefault="00EE050D">
            <w:pPr>
              <w:jc w:val="center"/>
              <w:rPr>
                <w:rFonts w:ascii="Times New Roman" w:hAnsi="Times New Roman"/>
                <w:sz w:val="24"/>
              </w:rPr>
            </w:pPr>
            <w:r>
              <w:rPr>
                <w:rFonts w:ascii="Times New Roman" w:hAnsi="Times New Roman"/>
                <w:sz w:val="24"/>
              </w:rPr>
              <w:t>杨浩宇</w:t>
            </w:r>
          </w:p>
        </w:tc>
        <w:tc>
          <w:tcPr>
            <w:tcW w:w="1602" w:type="dxa"/>
            <w:gridSpan w:val="2"/>
            <w:tcBorders>
              <w:top w:val="single" w:sz="4" w:space="0" w:color="auto"/>
              <w:left w:val="nil"/>
              <w:bottom w:val="single" w:sz="4" w:space="0" w:color="auto"/>
              <w:right w:val="single" w:sz="4" w:space="0" w:color="auto"/>
            </w:tcBorders>
            <w:vAlign w:val="center"/>
          </w:tcPr>
          <w:p w:rsidR="00D67BE8" w:rsidRDefault="00EE050D">
            <w:pPr>
              <w:jc w:val="center"/>
              <w:rPr>
                <w:rFonts w:ascii="Times New Roman" w:hAnsi="Times New Roman"/>
                <w:sz w:val="24"/>
              </w:rPr>
            </w:pPr>
            <w:r>
              <w:rPr>
                <w:rFonts w:ascii="Times New Roman" w:hAnsi="Times New Roman"/>
                <w:sz w:val="24"/>
              </w:rPr>
              <w:t>201705820609</w:t>
            </w:r>
          </w:p>
        </w:tc>
        <w:tc>
          <w:tcPr>
            <w:tcW w:w="1638" w:type="dxa"/>
            <w:gridSpan w:val="3"/>
            <w:tcBorders>
              <w:top w:val="single" w:sz="4" w:space="0" w:color="auto"/>
              <w:left w:val="nil"/>
              <w:bottom w:val="single" w:sz="4" w:space="0" w:color="auto"/>
              <w:right w:val="single" w:sz="4" w:space="0" w:color="auto"/>
            </w:tcBorders>
            <w:vAlign w:val="center"/>
          </w:tcPr>
          <w:p w:rsidR="00D67BE8" w:rsidRDefault="00EE050D">
            <w:pPr>
              <w:jc w:val="center"/>
              <w:rPr>
                <w:rFonts w:ascii="Times New Roman" w:hAnsi="Times New Roman"/>
                <w:sz w:val="24"/>
              </w:rPr>
            </w:pPr>
            <w:r>
              <w:rPr>
                <w:rFonts w:ascii="Times New Roman" w:hAnsi="Times New Roman"/>
                <w:sz w:val="24"/>
              </w:rPr>
              <w:t>17</w:t>
            </w:r>
            <w:r>
              <w:rPr>
                <w:rFonts w:ascii="Times New Roman" w:hAnsi="Times New Roman"/>
                <w:sz w:val="24"/>
              </w:rPr>
              <w:t>环保设备工程</w:t>
            </w:r>
            <w:r>
              <w:rPr>
                <w:rFonts w:ascii="Times New Roman" w:hAnsi="Times New Roman"/>
                <w:sz w:val="24"/>
              </w:rPr>
              <w:t>1</w:t>
            </w:r>
            <w:r>
              <w:rPr>
                <w:rFonts w:ascii="Times New Roman" w:hAnsi="Times New Roman"/>
                <w:sz w:val="24"/>
              </w:rPr>
              <w:t>班</w:t>
            </w:r>
          </w:p>
        </w:tc>
        <w:tc>
          <w:tcPr>
            <w:tcW w:w="1980" w:type="dxa"/>
            <w:gridSpan w:val="3"/>
            <w:tcBorders>
              <w:top w:val="single" w:sz="4" w:space="0" w:color="auto"/>
              <w:left w:val="nil"/>
              <w:bottom w:val="single" w:sz="4" w:space="0" w:color="auto"/>
              <w:right w:val="single" w:sz="4" w:space="0" w:color="auto"/>
            </w:tcBorders>
            <w:vAlign w:val="center"/>
          </w:tcPr>
          <w:p w:rsidR="00D67BE8" w:rsidRDefault="00EE050D">
            <w:pPr>
              <w:jc w:val="center"/>
              <w:rPr>
                <w:sz w:val="24"/>
              </w:rPr>
            </w:pPr>
            <w:r>
              <w:rPr>
                <w:rFonts w:hint="eastAsia"/>
                <w:sz w:val="24"/>
              </w:rPr>
              <w:t>环境与资源学院</w:t>
            </w:r>
          </w:p>
        </w:tc>
        <w:tc>
          <w:tcPr>
            <w:tcW w:w="1800" w:type="dxa"/>
            <w:gridSpan w:val="2"/>
            <w:tcBorders>
              <w:top w:val="single" w:sz="4" w:space="0" w:color="auto"/>
              <w:left w:val="nil"/>
              <w:bottom w:val="single" w:sz="4" w:space="0" w:color="auto"/>
              <w:right w:val="single" w:sz="4" w:space="0" w:color="auto"/>
            </w:tcBorders>
            <w:vAlign w:val="center"/>
          </w:tcPr>
          <w:p w:rsidR="00D67BE8" w:rsidRDefault="00EE050D" w:rsidP="00DE7B83">
            <w:pPr>
              <w:jc w:val="center"/>
              <w:rPr>
                <w:sz w:val="24"/>
              </w:rPr>
            </w:pPr>
            <w:r>
              <w:rPr>
                <w:rFonts w:hint="eastAsia"/>
                <w:sz w:val="24"/>
                <w:szCs w:val="24"/>
              </w:rPr>
              <w:t>催化剂协同脱硝机理研究</w:t>
            </w:r>
          </w:p>
        </w:tc>
      </w:tr>
    </w:tbl>
    <w:p w:rsidR="00D67BE8" w:rsidRDefault="00EE050D">
      <w:pPr>
        <w:numPr>
          <w:ilvl w:val="1"/>
          <w:numId w:val="2"/>
        </w:numPr>
        <w:tabs>
          <w:tab w:val="clear" w:pos="1532"/>
          <w:tab w:val="left" w:pos="720"/>
        </w:tabs>
        <w:spacing w:beforeLines="50" w:before="156" w:afterLines="50" w:after="156" w:line="300" w:lineRule="auto"/>
        <w:ind w:left="0" w:right="567" w:firstLine="0"/>
        <w:rPr>
          <w:rFonts w:eastAsia="黑体"/>
          <w:bCs/>
          <w:sz w:val="28"/>
        </w:rPr>
      </w:pPr>
      <w:r>
        <w:rPr>
          <w:rFonts w:eastAsia="黑体" w:hint="eastAsia"/>
          <w:bCs/>
          <w:sz w:val="28"/>
        </w:rPr>
        <w:lastRenderedPageBreak/>
        <w:t>立项依据（可加页）</w:t>
      </w:r>
    </w:p>
    <w:tbl>
      <w:tblPr>
        <w:tblW w:w="8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15"/>
      </w:tblGrid>
      <w:tr w:rsidR="00D67BE8" w:rsidTr="000435DF">
        <w:trPr>
          <w:trHeight w:val="6400"/>
          <w:jc w:val="center"/>
        </w:trPr>
        <w:tc>
          <w:tcPr>
            <w:tcW w:w="8715" w:type="dxa"/>
          </w:tcPr>
          <w:p w:rsidR="00D67BE8" w:rsidRPr="00CC698C" w:rsidRDefault="00EE050D" w:rsidP="00DE7B83">
            <w:pPr>
              <w:numPr>
                <w:ilvl w:val="0"/>
                <w:numId w:val="4"/>
              </w:numPr>
              <w:tabs>
                <w:tab w:val="clear" w:pos="972"/>
                <w:tab w:val="left" w:pos="792"/>
              </w:tabs>
              <w:snapToGrid w:val="0"/>
              <w:spacing w:beforeLines="100" w:before="312" w:afterLines="50" w:after="156" w:line="440" w:lineRule="exact"/>
              <w:ind w:left="970" w:hanging="970"/>
              <w:rPr>
                <w:rFonts w:ascii="黑体" w:eastAsia="黑体" w:hAnsi="黑体"/>
                <w:b/>
                <w:bCs/>
                <w:sz w:val="24"/>
              </w:rPr>
            </w:pPr>
            <w:r w:rsidRPr="00CC698C">
              <w:rPr>
                <w:rFonts w:ascii="黑体" w:eastAsia="黑体" w:hAnsi="黑体" w:hint="eastAsia"/>
                <w:b/>
                <w:bCs/>
                <w:sz w:val="24"/>
              </w:rPr>
              <w:t>项目简介</w:t>
            </w:r>
          </w:p>
          <w:p w:rsidR="00D67BE8" w:rsidRDefault="00EE050D" w:rsidP="00DE7B83">
            <w:pPr>
              <w:spacing w:line="440" w:lineRule="exact"/>
              <w:ind w:firstLineChars="200" w:firstLine="480"/>
              <w:rPr>
                <w:sz w:val="24"/>
              </w:rPr>
            </w:pPr>
            <w:r>
              <w:rPr>
                <w:rFonts w:hint="eastAsia"/>
                <w:sz w:val="24"/>
              </w:rPr>
              <w:t>氮氧化物（</w:t>
            </w:r>
            <w:r>
              <w:rPr>
                <w:rFonts w:ascii="Times New Roman" w:hAnsi="Times New Roman"/>
                <w:sz w:val="24"/>
              </w:rPr>
              <w:t>NO</w:t>
            </w:r>
            <w:r>
              <w:rPr>
                <w:rFonts w:ascii="Times New Roman" w:hAnsi="Times New Roman"/>
                <w:sz w:val="24"/>
                <w:vertAlign w:val="subscript"/>
              </w:rPr>
              <w:t>x</w:t>
            </w:r>
            <w:r>
              <w:rPr>
                <w:rFonts w:hint="eastAsia"/>
                <w:sz w:val="24"/>
              </w:rPr>
              <w:t>）和挥发性有机物（</w:t>
            </w:r>
            <w:r>
              <w:rPr>
                <w:rFonts w:ascii="Times New Roman" w:hAnsi="Times New Roman"/>
                <w:sz w:val="24"/>
              </w:rPr>
              <w:t>VOCs</w:t>
            </w:r>
            <w:r>
              <w:rPr>
                <w:rFonts w:hint="eastAsia"/>
                <w:sz w:val="24"/>
              </w:rPr>
              <w:t>）是造成灰霾和近地面臭氧等大气污染问题的重要前体物，对生态环境和人体健康产生不利影响。低温选择性催化还原</w:t>
            </w:r>
            <w:r>
              <w:rPr>
                <w:rFonts w:ascii="Times New Roman" w:hAnsi="Times New Roman"/>
                <w:sz w:val="24"/>
              </w:rPr>
              <w:t>NO</w:t>
            </w:r>
            <w:r>
              <w:rPr>
                <w:rFonts w:hint="eastAsia"/>
                <w:sz w:val="24"/>
              </w:rPr>
              <w:t>协同控制</w:t>
            </w:r>
            <w:r>
              <w:rPr>
                <w:rFonts w:ascii="Times New Roman" w:hAnsi="Times New Roman"/>
                <w:sz w:val="24"/>
              </w:rPr>
              <w:t>VOCs</w:t>
            </w:r>
            <w:r>
              <w:rPr>
                <w:rFonts w:hint="eastAsia"/>
                <w:sz w:val="24"/>
              </w:rPr>
              <w:t>是控制工业烟气</w:t>
            </w:r>
            <w:r>
              <w:rPr>
                <w:rFonts w:ascii="Times New Roman" w:hAnsi="Times New Roman"/>
                <w:sz w:val="24"/>
              </w:rPr>
              <w:t>NOx</w:t>
            </w:r>
            <w:r>
              <w:rPr>
                <w:rFonts w:ascii="Times New Roman" w:hAnsi="Times New Roman"/>
                <w:sz w:val="24"/>
              </w:rPr>
              <w:t>和</w:t>
            </w:r>
            <w:r>
              <w:rPr>
                <w:rFonts w:ascii="Times New Roman" w:hAnsi="Times New Roman"/>
                <w:sz w:val="24"/>
              </w:rPr>
              <w:t>VOCs</w:t>
            </w:r>
            <w:r>
              <w:rPr>
                <w:rFonts w:hint="eastAsia"/>
                <w:sz w:val="24"/>
              </w:rPr>
              <w:t>污染的关键。通过掺杂金属</w:t>
            </w:r>
            <w:r>
              <w:rPr>
                <w:rFonts w:ascii="Times New Roman" w:hAnsi="Times New Roman"/>
                <w:sz w:val="24"/>
              </w:rPr>
              <w:t>Cu</w:t>
            </w:r>
            <w:r>
              <w:rPr>
                <w:rFonts w:hint="eastAsia"/>
                <w:sz w:val="24"/>
              </w:rPr>
              <w:t>离子和控制晶体形貌等手段制备铈基催化剂。研究铈基催化剂表面理化性质对低温脱硝协同控制</w:t>
            </w:r>
            <w:r>
              <w:rPr>
                <w:rFonts w:ascii="Times New Roman" w:hAnsi="Times New Roman"/>
                <w:sz w:val="24"/>
              </w:rPr>
              <w:t>VOCs</w:t>
            </w:r>
            <w:r>
              <w:rPr>
                <w:rFonts w:hint="eastAsia"/>
                <w:sz w:val="24"/>
              </w:rPr>
              <w:t>性能的影响。同时，通过多种结构表征手段和催化性能评价结果，研究其催化性能以及低温脱硝和协同控制</w:t>
            </w:r>
            <w:r>
              <w:rPr>
                <w:rFonts w:ascii="Times New Roman" w:hAnsi="Times New Roman"/>
                <w:sz w:val="24"/>
              </w:rPr>
              <w:t>VOCs</w:t>
            </w:r>
            <w:r>
              <w:rPr>
                <w:rFonts w:hint="eastAsia"/>
                <w:sz w:val="24"/>
              </w:rPr>
              <w:t>的机理。</w:t>
            </w:r>
          </w:p>
          <w:p w:rsidR="00D67BE8" w:rsidRPr="00CC698C" w:rsidRDefault="00EE050D" w:rsidP="00DE7B83">
            <w:pPr>
              <w:numPr>
                <w:ilvl w:val="0"/>
                <w:numId w:val="4"/>
              </w:numPr>
              <w:tabs>
                <w:tab w:val="clear" w:pos="972"/>
                <w:tab w:val="left" w:pos="792"/>
              </w:tabs>
              <w:snapToGrid w:val="0"/>
              <w:spacing w:beforeLines="100" w:before="312" w:afterLines="50" w:after="156" w:line="440" w:lineRule="exact"/>
              <w:ind w:left="970" w:hanging="970"/>
              <w:rPr>
                <w:rFonts w:ascii="黑体" w:eastAsia="黑体" w:hAnsi="黑体"/>
                <w:b/>
                <w:bCs/>
                <w:sz w:val="24"/>
              </w:rPr>
            </w:pPr>
            <w:r w:rsidRPr="00CC698C">
              <w:rPr>
                <w:rFonts w:ascii="黑体" w:eastAsia="黑体" w:hAnsi="黑体" w:hint="eastAsia"/>
                <w:b/>
                <w:bCs/>
                <w:sz w:val="24"/>
              </w:rPr>
              <w:t>研究目的</w:t>
            </w:r>
          </w:p>
          <w:p w:rsidR="00D67BE8" w:rsidRDefault="00EE050D" w:rsidP="00DE7B83">
            <w:pPr>
              <w:spacing w:line="440" w:lineRule="exact"/>
              <w:ind w:firstLineChars="200" w:firstLine="480"/>
              <w:rPr>
                <w:sz w:val="24"/>
              </w:rPr>
            </w:pPr>
            <w:r>
              <w:rPr>
                <w:sz w:val="24"/>
              </w:rPr>
              <w:t>本项目使用水热法制备铈基纳米催化剂，并通过掺杂金属离子</w:t>
            </w:r>
            <w:r>
              <w:rPr>
                <w:rFonts w:ascii="Times New Roman" w:hAnsi="Times New Roman"/>
                <w:sz w:val="24"/>
              </w:rPr>
              <w:t>Cu</w:t>
            </w:r>
            <w:r>
              <w:rPr>
                <w:sz w:val="24"/>
              </w:rPr>
              <w:t>和控制晶体形貌等手段来调变催化剂结构，考察其在低温条件下脱硝协同控制</w:t>
            </w:r>
            <w:r>
              <w:rPr>
                <w:rFonts w:ascii="Times New Roman" w:hAnsi="Times New Roman"/>
                <w:sz w:val="24"/>
              </w:rPr>
              <w:t>VOCs</w:t>
            </w:r>
            <w:r>
              <w:rPr>
                <w:sz w:val="24"/>
              </w:rPr>
              <w:t>性能。根据催化剂理化性质和去除</w:t>
            </w:r>
            <w:r>
              <w:rPr>
                <w:rFonts w:ascii="Times New Roman" w:hAnsi="Times New Roman"/>
                <w:sz w:val="24"/>
              </w:rPr>
              <w:t>NO</w:t>
            </w:r>
            <w:r>
              <w:rPr>
                <w:sz w:val="24"/>
              </w:rPr>
              <w:t>和</w:t>
            </w:r>
            <w:r>
              <w:rPr>
                <w:rFonts w:ascii="Times New Roman" w:hAnsi="Times New Roman"/>
                <w:sz w:val="24"/>
              </w:rPr>
              <w:t>VOCs</w:t>
            </w:r>
            <w:r>
              <w:rPr>
                <w:sz w:val="24"/>
              </w:rPr>
              <w:t>性能评价结果，建立催化剂结构</w:t>
            </w:r>
            <w:r>
              <w:rPr>
                <w:sz w:val="24"/>
              </w:rPr>
              <w:t>-</w:t>
            </w:r>
            <w:r>
              <w:rPr>
                <w:sz w:val="24"/>
              </w:rPr>
              <w:t>理化性质</w:t>
            </w:r>
            <w:r>
              <w:rPr>
                <w:sz w:val="24"/>
              </w:rPr>
              <w:t>-</w:t>
            </w:r>
            <w:r>
              <w:rPr>
                <w:sz w:val="24"/>
              </w:rPr>
              <w:t>催化活性的构效关系，阐明铈基催化剂低温脱硝协同控制</w:t>
            </w:r>
            <w:r>
              <w:rPr>
                <w:rFonts w:ascii="Times New Roman" w:hAnsi="Times New Roman"/>
                <w:sz w:val="24"/>
              </w:rPr>
              <w:t>VOCs</w:t>
            </w:r>
            <w:r>
              <w:rPr>
                <w:sz w:val="24"/>
              </w:rPr>
              <w:t>的反应机理。</w:t>
            </w:r>
          </w:p>
          <w:p w:rsidR="00D67BE8" w:rsidRPr="00CC698C" w:rsidRDefault="00EE050D" w:rsidP="00DE7B83">
            <w:pPr>
              <w:numPr>
                <w:ilvl w:val="0"/>
                <w:numId w:val="4"/>
              </w:numPr>
              <w:tabs>
                <w:tab w:val="clear" w:pos="972"/>
                <w:tab w:val="left" w:pos="792"/>
              </w:tabs>
              <w:snapToGrid w:val="0"/>
              <w:spacing w:beforeLines="100" w:before="312" w:afterLines="50" w:after="156" w:line="440" w:lineRule="exact"/>
              <w:ind w:left="970" w:hanging="970"/>
              <w:rPr>
                <w:rFonts w:ascii="黑体" w:eastAsia="黑体" w:hAnsi="黑体"/>
                <w:b/>
                <w:bCs/>
                <w:sz w:val="24"/>
              </w:rPr>
            </w:pPr>
            <w:r w:rsidRPr="00CC698C">
              <w:rPr>
                <w:rFonts w:ascii="黑体" w:eastAsia="黑体" w:hAnsi="黑体" w:hint="eastAsia"/>
                <w:b/>
                <w:bCs/>
                <w:sz w:val="24"/>
              </w:rPr>
              <w:t>研究内容</w:t>
            </w:r>
          </w:p>
          <w:p w:rsidR="00D67BE8" w:rsidRDefault="00EE050D" w:rsidP="00DE7B83">
            <w:pPr>
              <w:spacing w:line="440" w:lineRule="exact"/>
              <w:ind w:firstLineChars="200" w:firstLine="480"/>
              <w:rPr>
                <w:sz w:val="24"/>
              </w:rPr>
            </w:pPr>
            <w:r>
              <w:rPr>
                <w:rFonts w:ascii="Times New Roman" w:eastAsia="仿宋" w:hAnsi="Times New Roman"/>
                <w:sz w:val="24"/>
              </w:rPr>
              <w:t>（</w:t>
            </w:r>
            <w:r>
              <w:rPr>
                <w:sz w:val="24"/>
              </w:rPr>
              <w:t>1</w:t>
            </w:r>
            <w:r>
              <w:rPr>
                <w:sz w:val="24"/>
              </w:rPr>
              <w:t>）铈基纳米催化剂的晶体形貌调控及其催化性能研究</w:t>
            </w:r>
          </w:p>
          <w:p w:rsidR="00D67BE8" w:rsidRDefault="00EE050D" w:rsidP="00DE7B83">
            <w:pPr>
              <w:spacing w:line="440" w:lineRule="exact"/>
              <w:ind w:firstLineChars="200" w:firstLine="480"/>
              <w:rPr>
                <w:sz w:val="24"/>
              </w:rPr>
            </w:pPr>
            <w:r>
              <w:rPr>
                <w:sz w:val="24"/>
              </w:rPr>
              <w:t>通过改变制备条件和选择性的暴露活性晶面，制备出具有不同形貌结构的铈基纳米催化剂</w:t>
            </w:r>
            <w:proofErr w:type="spellStart"/>
            <w:r>
              <w:rPr>
                <w:rFonts w:ascii="Times New Roman" w:hAnsi="Times New Roman"/>
                <w:sz w:val="24"/>
              </w:rPr>
              <w:t>FeCeO</w:t>
            </w:r>
            <w:r>
              <w:rPr>
                <w:rFonts w:ascii="Times New Roman" w:hAnsi="Times New Roman"/>
                <w:sz w:val="24"/>
                <w:vertAlign w:val="subscript"/>
              </w:rPr>
              <w:t>x</w:t>
            </w:r>
            <w:proofErr w:type="spellEnd"/>
            <w:r>
              <w:rPr>
                <w:sz w:val="24"/>
              </w:rPr>
              <w:t>；研究制备条件对</w:t>
            </w:r>
            <w:proofErr w:type="spellStart"/>
            <w:r>
              <w:rPr>
                <w:rFonts w:ascii="Times New Roman" w:hAnsi="Times New Roman"/>
                <w:sz w:val="24"/>
                <w:szCs w:val="24"/>
              </w:rPr>
              <w:t>FeCeO</w:t>
            </w:r>
            <w:r>
              <w:rPr>
                <w:rStyle w:val="ad"/>
                <w:rFonts w:ascii="Times New Roman" w:hAnsi="Times New Roman" w:hint="eastAsia"/>
                <w:sz w:val="24"/>
                <w:szCs w:val="24"/>
                <w:vertAlign w:val="subscript"/>
              </w:rPr>
              <w:t>x</w:t>
            </w:r>
            <w:proofErr w:type="spellEnd"/>
            <w:r>
              <w:rPr>
                <w:sz w:val="24"/>
              </w:rPr>
              <w:t>催化剂表面理化性质的影响，同时借助比表面积（</w:t>
            </w:r>
            <w:r>
              <w:rPr>
                <w:rFonts w:ascii="Times New Roman" w:hAnsi="Times New Roman"/>
                <w:sz w:val="24"/>
              </w:rPr>
              <w:t>BET</w:t>
            </w:r>
            <w:r>
              <w:rPr>
                <w:sz w:val="24"/>
              </w:rPr>
              <w:t>）、</w:t>
            </w:r>
            <w:r>
              <w:rPr>
                <w:rFonts w:ascii="Times New Roman" w:hAnsi="Times New Roman"/>
                <w:sz w:val="24"/>
              </w:rPr>
              <w:t>X</w:t>
            </w:r>
            <w:r>
              <w:rPr>
                <w:sz w:val="24"/>
              </w:rPr>
              <w:t>射线晶体衍射（</w:t>
            </w:r>
            <w:r>
              <w:rPr>
                <w:rFonts w:ascii="Times New Roman" w:hAnsi="Times New Roman"/>
                <w:sz w:val="24"/>
              </w:rPr>
              <w:t>XRD</w:t>
            </w:r>
            <w:r>
              <w:rPr>
                <w:sz w:val="24"/>
              </w:rPr>
              <w:t>）、</w:t>
            </w:r>
            <w:r>
              <w:rPr>
                <w:rFonts w:ascii="Times New Roman" w:hAnsi="Times New Roman"/>
                <w:sz w:val="24"/>
              </w:rPr>
              <w:t>H</w:t>
            </w:r>
            <w:r>
              <w:rPr>
                <w:rFonts w:ascii="Times New Roman" w:hAnsi="Times New Roman" w:hint="eastAsia"/>
                <w:sz w:val="24"/>
                <w:vertAlign w:val="subscript"/>
              </w:rPr>
              <w:t>2</w:t>
            </w:r>
            <w:r>
              <w:rPr>
                <w:sz w:val="24"/>
              </w:rPr>
              <w:t>程序升温还原（</w:t>
            </w:r>
            <w:r>
              <w:rPr>
                <w:rFonts w:ascii="Times New Roman" w:hAnsi="Times New Roman"/>
                <w:sz w:val="24"/>
              </w:rPr>
              <w:t>H</w:t>
            </w:r>
            <w:r>
              <w:rPr>
                <w:rFonts w:ascii="Times New Roman" w:hAnsi="Times New Roman" w:hint="eastAsia"/>
                <w:sz w:val="24"/>
                <w:vertAlign w:val="subscript"/>
              </w:rPr>
              <w:t>2</w:t>
            </w:r>
            <w:r>
              <w:rPr>
                <w:rFonts w:ascii="Times New Roman" w:hAnsi="Times New Roman"/>
                <w:sz w:val="24"/>
              </w:rPr>
              <w:t>-TPR</w:t>
            </w:r>
            <w:r>
              <w:rPr>
                <w:sz w:val="24"/>
              </w:rPr>
              <w:t>）、</w:t>
            </w:r>
            <w:r>
              <w:rPr>
                <w:rFonts w:ascii="Times New Roman" w:hAnsi="Times New Roman"/>
                <w:sz w:val="24"/>
              </w:rPr>
              <w:t>NH</w:t>
            </w:r>
            <w:r>
              <w:rPr>
                <w:rFonts w:ascii="Times New Roman" w:hAnsi="Times New Roman" w:hint="eastAsia"/>
                <w:sz w:val="24"/>
                <w:vertAlign w:val="subscript"/>
              </w:rPr>
              <w:t>3</w:t>
            </w:r>
            <w:r>
              <w:rPr>
                <w:sz w:val="24"/>
              </w:rPr>
              <w:t>程序升温脱附（</w:t>
            </w:r>
            <w:r>
              <w:rPr>
                <w:rFonts w:ascii="Times New Roman" w:hAnsi="Times New Roman"/>
                <w:sz w:val="24"/>
              </w:rPr>
              <w:t>NH</w:t>
            </w:r>
            <w:r>
              <w:rPr>
                <w:rFonts w:ascii="Times New Roman" w:hAnsi="Times New Roman"/>
                <w:sz w:val="24"/>
                <w:vertAlign w:val="subscript"/>
              </w:rPr>
              <w:t>3</w:t>
            </w:r>
            <w:r>
              <w:rPr>
                <w:rFonts w:ascii="Times New Roman" w:hAnsi="Times New Roman"/>
                <w:sz w:val="24"/>
              </w:rPr>
              <w:t>-TPD</w:t>
            </w:r>
            <w:r>
              <w:rPr>
                <w:sz w:val="24"/>
              </w:rPr>
              <w:t>）、</w:t>
            </w:r>
            <w:r>
              <w:rPr>
                <w:rFonts w:ascii="Times New Roman" w:hAnsi="Times New Roman"/>
                <w:sz w:val="24"/>
              </w:rPr>
              <w:t>X</w:t>
            </w:r>
            <w:r>
              <w:rPr>
                <w:sz w:val="24"/>
              </w:rPr>
              <w:t>射线光电子能谱</w:t>
            </w:r>
            <w:r>
              <w:rPr>
                <w:sz w:val="24"/>
              </w:rPr>
              <w:t xml:space="preserve"> (</w:t>
            </w:r>
            <w:r>
              <w:rPr>
                <w:rFonts w:ascii="Times New Roman" w:hAnsi="Times New Roman"/>
                <w:sz w:val="24"/>
              </w:rPr>
              <w:t>XPS</w:t>
            </w:r>
            <w:r>
              <w:rPr>
                <w:sz w:val="24"/>
              </w:rPr>
              <w:t>)</w:t>
            </w:r>
            <w:r>
              <w:rPr>
                <w:sz w:val="24"/>
              </w:rPr>
              <w:t>以及透射电子显微镜（</w:t>
            </w:r>
            <w:r>
              <w:rPr>
                <w:rFonts w:ascii="Times New Roman" w:hAnsi="Times New Roman"/>
                <w:sz w:val="24"/>
              </w:rPr>
              <w:t>TEM</w:t>
            </w:r>
            <w:r>
              <w:rPr>
                <w:sz w:val="24"/>
              </w:rPr>
              <w:t>）等表征手段，探讨催化剂的晶相、表面酸性、氧化还原性能以及氧空位等表面理化性质在催化反应过程中的变化规律，阐明</w:t>
            </w:r>
            <w:proofErr w:type="spellStart"/>
            <w:r>
              <w:rPr>
                <w:rFonts w:ascii="Times New Roman" w:hAnsi="Times New Roman"/>
                <w:sz w:val="24"/>
              </w:rPr>
              <w:t>FeCeO</w:t>
            </w:r>
            <w:r>
              <w:rPr>
                <w:rFonts w:ascii="Times New Roman" w:hAnsi="Times New Roman" w:hint="eastAsia"/>
                <w:sz w:val="24"/>
                <w:vertAlign w:val="subscript"/>
              </w:rPr>
              <w:t>x</w:t>
            </w:r>
            <w:proofErr w:type="spellEnd"/>
            <w:r>
              <w:rPr>
                <w:sz w:val="24"/>
              </w:rPr>
              <w:t>催化剂在低温脱硝协同控制</w:t>
            </w:r>
            <w:r>
              <w:rPr>
                <w:rFonts w:ascii="Times New Roman" w:hAnsi="Times New Roman"/>
                <w:sz w:val="24"/>
              </w:rPr>
              <w:t>VOCs</w:t>
            </w:r>
            <w:r>
              <w:rPr>
                <w:sz w:val="24"/>
              </w:rPr>
              <w:t>过程中的</w:t>
            </w:r>
            <w:r>
              <w:rPr>
                <w:rFonts w:hint="eastAsia"/>
                <w:sz w:val="24"/>
              </w:rPr>
              <w:t>“</w:t>
            </w:r>
            <w:r>
              <w:rPr>
                <w:sz w:val="24"/>
              </w:rPr>
              <w:t>结构</w:t>
            </w:r>
            <w:r>
              <w:rPr>
                <w:sz w:val="24"/>
              </w:rPr>
              <w:t>-</w:t>
            </w:r>
            <w:r>
              <w:rPr>
                <w:sz w:val="24"/>
              </w:rPr>
              <w:t>理化性质</w:t>
            </w:r>
            <w:r>
              <w:rPr>
                <w:sz w:val="24"/>
              </w:rPr>
              <w:t>-</w:t>
            </w:r>
            <w:r>
              <w:rPr>
                <w:sz w:val="24"/>
              </w:rPr>
              <w:t>催化活性</w:t>
            </w:r>
            <w:r>
              <w:rPr>
                <w:rFonts w:hint="eastAsia"/>
                <w:sz w:val="24"/>
              </w:rPr>
              <w:t>”</w:t>
            </w:r>
            <w:r>
              <w:rPr>
                <w:sz w:val="24"/>
              </w:rPr>
              <w:t>构效关系。</w:t>
            </w:r>
          </w:p>
          <w:p w:rsidR="00D67BE8" w:rsidRDefault="00EE050D" w:rsidP="00DE7B83">
            <w:pPr>
              <w:spacing w:line="440" w:lineRule="exact"/>
              <w:ind w:firstLineChars="200" w:firstLine="480"/>
              <w:rPr>
                <w:sz w:val="24"/>
              </w:rPr>
            </w:pPr>
            <w:r>
              <w:rPr>
                <w:sz w:val="24"/>
              </w:rPr>
              <w:t>（</w:t>
            </w:r>
            <w:r>
              <w:rPr>
                <w:sz w:val="24"/>
              </w:rPr>
              <w:t>2</w:t>
            </w:r>
            <w:r>
              <w:rPr>
                <w:sz w:val="24"/>
              </w:rPr>
              <w:t>）</w:t>
            </w:r>
            <w:proofErr w:type="spellStart"/>
            <w:r>
              <w:rPr>
                <w:rFonts w:ascii="Times New Roman" w:hAnsi="Times New Roman"/>
                <w:sz w:val="24"/>
              </w:rPr>
              <w:t>FeCeO</w:t>
            </w:r>
            <w:r>
              <w:rPr>
                <w:rFonts w:ascii="Times New Roman" w:hAnsi="Times New Roman" w:hint="eastAsia"/>
                <w:sz w:val="24"/>
                <w:vertAlign w:val="subscript"/>
              </w:rPr>
              <w:t>x</w:t>
            </w:r>
            <w:proofErr w:type="spellEnd"/>
            <w:r>
              <w:rPr>
                <w:rFonts w:ascii="Times New Roman" w:hAnsi="Times New Roman"/>
                <w:sz w:val="24"/>
              </w:rPr>
              <w:t>-Cu</w:t>
            </w:r>
            <w:r>
              <w:rPr>
                <w:sz w:val="24"/>
              </w:rPr>
              <w:t>复合氧化物催化性能研究</w:t>
            </w:r>
          </w:p>
          <w:p w:rsidR="00D67BE8" w:rsidRDefault="00EE050D" w:rsidP="00DE7B83">
            <w:pPr>
              <w:spacing w:line="440" w:lineRule="exact"/>
              <w:ind w:firstLineChars="200" w:firstLine="480"/>
              <w:rPr>
                <w:sz w:val="24"/>
              </w:rPr>
            </w:pPr>
            <w:r>
              <w:rPr>
                <w:sz w:val="24"/>
              </w:rPr>
              <w:t>在</w:t>
            </w:r>
            <w:proofErr w:type="spellStart"/>
            <w:r>
              <w:rPr>
                <w:rFonts w:ascii="Times New Roman" w:hAnsi="Times New Roman"/>
                <w:sz w:val="24"/>
              </w:rPr>
              <w:t>FeCeO</w:t>
            </w:r>
            <w:r>
              <w:rPr>
                <w:rFonts w:ascii="Times New Roman" w:hAnsi="Times New Roman" w:hint="eastAsia"/>
                <w:sz w:val="24"/>
                <w:vertAlign w:val="subscript"/>
              </w:rPr>
              <w:t>x</w:t>
            </w:r>
            <w:proofErr w:type="spellEnd"/>
            <w:r>
              <w:rPr>
                <w:sz w:val="24"/>
              </w:rPr>
              <w:t>催化剂中引入金属离子</w:t>
            </w:r>
            <w:r>
              <w:rPr>
                <w:rFonts w:ascii="Times New Roman" w:hAnsi="Times New Roman"/>
                <w:sz w:val="24"/>
              </w:rPr>
              <w:t>Cu</w:t>
            </w:r>
            <w:r>
              <w:rPr>
                <w:sz w:val="24"/>
              </w:rPr>
              <w:t>，改变催化剂前体物组成比例和金属离子</w:t>
            </w:r>
            <w:r>
              <w:rPr>
                <w:rFonts w:ascii="Times New Roman" w:hAnsi="Times New Roman"/>
                <w:sz w:val="24"/>
              </w:rPr>
              <w:t>Cu</w:t>
            </w:r>
            <w:r>
              <w:rPr>
                <w:sz w:val="24"/>
              </w:rPr>
              <w:t>掺杂方法等因素，可得到一系列结构、形貌可控的</w:t>
            </w:r>
            <w:proofErr w:type="spellStart"/>
            <w:r>
              <w:rPr>
                <w:rFonts w:ascii="Times New Roman" w:hAnsi="Times New Roman"/>
                <w:sz w:val="24"/>
              </w:rPr>
              <w:t>FeCeO</w:t>
            </w:r>
            <w:r>
              <w:rPr>
                <w:rFonts w:ascii="Times New Roman" w:hAnsi="Times New Roman" w:hint="eastAsia"/>
                <w:sz w:val="24"/>
                <w:vertAlign w:val="subscript"/>
              </w:rPr>
              <w:t>x</w:t>
            </w:r>
            <w:proofErr w:type="spellEnd"/>
            <w:r>
              <w:rPr>
                <w:rFonts w:ascii="Times New Roman" w:hAnsi="Times New Roman"/>
                <w:sz w:val="24"/>
              </w:rPr>
              <w:t>-Cu</w:t>
            </w:r>
            <w:r>
              <w:rPr>
                <w:sz w:val="24"/>
              </w:rPr>
              <w:t>复合氧化物催化剂。研究掺杂金属离子</w:t>
            </w:r>
            <w:r>
              <w:rPr>
                <w:rFonts w:ascii="Times New Roman" w:hAnsi="Times New Roman"/>
                <w:sz w:val="24"/>
              </w:rPr>
              <w:t>Cu</w:t>
            </w:r>
            <w:r>
              <w:rPr>
                <w:sz w:val="24"/>
              </w:rPr>
              <w:t>的含量以及掺杂方法等因素对</w:t>
            </w:r>
            <w:proofErr w:type="spellStart"/>
            <w:r>
              <w:rPr>
                <w:rFonts w:ascii="Times New Roman" w:hAnsi="Times New Roman"/>
                <w:sz w:val="24"/>
              </w:rPr>
              <w:t>FeCeO</w:t>
            </w:r>
            <w:proofErr w:type="spellEnd"/>
            <w:r>
              <w:rPr>
                <w:sz w:val="24"/>
              </w:rPr>
              <w:t>催化剂的晶体结构、微观形貌、氧化还原性质等表面理化性质的影响；基于</w:t>
            </w:r>
            <w:r>
              <w:rPr>
                <w:rFonts w:ascii="Times New Roman" w:hAnsi="Times New Roman"/>
                <w:sz w:val="24"/>
              </w:rPr>
              <w:t xml:space="preserve">BET </w:t>
            </w:r>
            <w:r>
              <w:rPr>
                <w:rFonts w:ascii="Times New Roman" w:hAnsi="Times New Roman"/>
                <w:sz w:val="24"/>
              </w:rPr>
              <w:t>、</w:t>
            </w:r>
            <w:r>
              <w:rPr>
                <w:rFonts w:ascii="Times New Roman" w:hAnsi="Times New Roman"/>
                <w:sz w:val="24"/>
              </w:rPr>
              <w:t>XPS</w:t>
            </w:r>
            <w:r>
              <w:rPr>
                <w:rFonts w:ascii="Times New Roman" w:hAnsi="Times New Roman"/>
                <w:sz w:val="24"/>
              </w:rPr>
              <w:t>、</w:t>
            </w:r>
            <w:r>
              <w:rPr>
                <w:rFonts w:ascii="Times New Roman" w:hAnsi="Times New Roman"/>
                <w:sz w:val="24"/>
              </w:rPr>
              <w:t>H2-TPR</w:t>
            </w:r>
            <w:r>
              <w:rPr>
                <w:rFonts w:ascii="Times New Roman" w:hAnsi="Times New Roman"/>
                <w:sz w:val="24"/>
              </w:rPr>
              <w:t>、</w:t>
            </w:r>
            <w:r>
              <w:rPr>
                <w:rFonts w:ascii="Times New Roman" w:hAnsi="Times New Roman"/>
                <w:sz w:val="24"/>
              </w:rPr>
              <w:lastRenderedPageBreak/>
              <w:t>TEM</w:t>
            </w:r>
            <w:r>
              <w:rPr>
                <w:sz w:val="24"/>
              </w:rPr>
              <w:t>等多种结构表征手段，并结合催化性能评价结果，揭示</w:t>
            </w:r>
            <w:r>
              <w:rPr>
                <w:rFonts w:ascii="Times New Roman" w:hAnsi="Times New Roman"/>
                <w:sz w:val="24"/>
              </w:rPr>
              <w:t>Fe</w:t>
            </w:r>
            <w:r>
              <w:rPr>
                <w:sz w:val="24"/>
              </w:rPr>
              <w:t>和金属离子</w:t>
            </w:r>
            <w:r>
              <w:rPr>
                <w:rFonts w:ascii="Times New Roman" w:hAnsi="Times New Roman"/>
                <w:sz w:val="24"/>
              </w:rPr>
              <w:t>Cu</w:t>
            </w:r>
            <w:r>
              <w:rPr>
                <w:sz w:val="24"/>
              </w:rPr>
              <w:t>的比例（</w:t>
            </w:r>
            <w:r>
              <w:rPr>
                <w:rFonts w:ascii="Times New Roman" w:hAnsi="Times New Roman"/>
                <w:sz w:val="24"/>
              </w:rPr>
              <w:t>Fe/Cu</w:t>
            </w:r>
            <w:r>
              <w:rPr>
                <w:sz w:val="24"/>
              </w:rPr>
              <w:t>）、分散度对催化活性的影响规律，探究</w:t>
            </w:r>
            <w:r>
              <w:rPr>
                <w:rFonts w:ascii="Times New Roman" w:hAnsi="Times New Roman"/>
                <w:sz w:val="24"/>
              </w:rPr>
              <w:t>Ce</w:t>
            </w:r>
            <w:r>
              <w:rPr>
                <w:rFonts w:ascii="Times New Roman" w:hAnsi="Times New Roman"/>
                <w:sz w:val="24"/>
              </w:rPr>
              <w:t>、</w:t>
            </w:r>
            <w:r>
              <w:rPr>
                <w:rFonts w:ascii="Times New Roman" w:hAnsi="Times New Roman"/>
                <w:sz w:val="24"/>
              </w:rPr>
              <w:t>Fe</w:t>
            </w:r>
            <w:r>
              <w:rPr>
                <w:sz w:val="24"/>
              </w:rPr>
              <w:t>和金属离子</w:t>
            </w:r>
            <w:r>
              <w:rPr>
                <w:rFonts w:ascii="Times New Roman" w:hAnsi="Times New Roman"/>
                <w:sz w:val="24"/>
              </w:rPr>
              <w:t>Cu</w:t>
            </w:r>
            <w:r>
              <w:rPr>
                <w:sz w:val="24"/>
              </w:rPr>
              <w:t>的协同作用机制，阐明金属元素</w:t>
            </w:r>
            <w:r>
              <w:rPr>
                <w:rFonts w:ascii="Times New Roman" w:hAnsi="Times New Roman"/>
                <w:sz w:val="24"/>
              </w:rPr>
              <w:t>Cu</w:t>
            </w:r>
            <w:r>
              <w:rPr>
                <w:sz w:val="24"/>
              </w:rPr>
              <w:t>掺杂改性对铈基催化剂表面理化性质的调变作用，从而建立</w:t>
            </w:r>
            <w:proofErr w:type="spellStart"/>
            <w:r>
              <w:rPr>
                <w:rFonts w:ascii="Times New Roman" w:hAnsi="Times New Roman"/>
                <w:sz w:val="24"/>
              </w:rPr>
              <w:t>FeCeO</w:t>
            </w:r>
            <w:r>
              <w:rPr>
                <w:rFonts w:ascii="Times New Roman" w:hAnsi="Times New Roman" w:hint="eastAsia"/>
                <w:sz w:val="24"/>
                <w:vertAlign w:val="subscript"/>
              </w:rPr>
              <w:t>x</w:t>
            </w:r>
            <w:proofErr w:type="spellEnd"/>
            <w:r>
              <w:rPr>
                <w:rFonts w:ascii="Times New Roman" w:hAnsi="Times New Roman"/>
                <w:sz w:val="24"/>
              </w:rPr>
              <w:t>-Cu</w:t>
            </w:r>
            <w:r>
              <w:rPr>
                <w:sz w:val="24"/>
              </w:rPr>
              <w:t>催化剂体系的构效关系</w:t>
            </w:r>
          </w:p>
          <w:p w:rsidR="00D67BE8" w:rsidRDefault="00EE050D" w:rsidP="00DE7B83">
            <w:pPr>
              <w:spacing w:line="440" w:lineRule="exact"/>
              <w:ind w:firstLineChars="200" w:firstLine="480"/>
              <w:rPr>
                <w:sz w:val="24"/>
              </w:rPr>
            </w:pPr>
            <w:r>
              <w:rPr>
                <w:sz w:val="24"/>
              </w:rPr>
              <w:t>（</w:t>
            </w:r>
            <w:r>
              <w:rPr>
                <w:sz w:val="24"/>
              </w:rPr>
              <w:t>3</w:t>
            </w:r>
            <w:r>
              <w:rPr>
                <w:sz w:val="24"/>
              </w:rPr>
              <w:t>）</w:t>
            </w:r>
            <w:proofErr w:type="spellStart"/>
            <w:r>
              <w:rPr>
                <w:rFonts w:ascii="Times New Roman" w:hAnsi="Times New Roman"/>
                <w:sz w:val="24"/>
              </w:rPr>
              <w:t>FeCeO</w:t>
            </w:r>
            <w:r>
              <w:rPr>
                <w:rFonts w:ascii="Times New Roman" w:hAnsi="Times New Roman"/>
                <w:sz w:val="24"/>
                <w:vertAlign w:val="subscript"/>
              </w:rPr>
              <w:t>x</w:t>
            </w:r>
            <w:proofErr w:type="spellEnd"/>
            <w:r>
              <w:rPr>
                <w:rFonts w:ascii="Times New Roman" w:hAnsi="Times New Roman"/>
                <w:sz w:val="24"/>
              </w:rPr>
              <w:t>-Cu</w:t>
            </w:r>
            <w:r>
              <w:rPr>
                <w:sz w:val="24"/>
              </w:rPr>
              <w:t>复合氧化物催化剂低温脱硝协同控制</w:t>
            </w:r>
            <w:r>
              <w:rPr>
                <w:rFonts w:ascii="Times New Roman" w:hAnsi="Times New Roman"/>
                <w:sz w:val="24"/>
              </w:rPr>
              <w:t>VOCs</w:t>
            </w:r>
            <w:r>
              <w:rPr>
                <w:sz w:val="24"/>
              </w:rPr>
              <w:t>的反应机理研究</w:t>
            </w:r>
          </w:p>
          <w:p w:rsidR="00D67BE8" w:rsidRDefault="00EE050D" w:rsidP="00DE7B83">
            <w:pPr>
              <w:spacing w:line="440" w:lineRule="exact"/>
              <w:ind w:firstLineChars="200" w:firstLine="480"/>
              <w:rPr>
                <w:sz w:val="24"/>
              </w:rPr>
            </w:pPr>
            <w:r>
              <w:rPr>
                <w:sz w:val="24"/>
              </w:rPr>
              <w:t>在</w:t>
            </w:r>
            <w:proofErr w:type="spellStart"/>
            <w:r>
              <w:rPr>
                <w:rFonts w:ascii="Times New Roman" w:hAnsi="Times New Roman"/>
                <w:sz w:val="24"/>
              </w:rPr>
              <w:t>FeCeO</w:t>
            </w:r>
            <w:r>
              <w:rPr>
                <w:rFonts w:ascii="Times New Roman" w:hAnsi="Times New Roman"/>
                <w:sz w:val="24"/>
                <w:vertAlign w:val="subscript"/>
              </w:rPr>
              <w:t>x</w:t>
            </w:r>
            <w:proofErr w:type="spellEnd"/>
            <w:r>
              <w:rPr>
                <w:rFonts w:ascii="Times New Roman" w:hAnsi="Times New Roman"/>
                <w:sz w:val="24"/>
              </w:rPr>
              <w:t>-Cu</w:t>
            </w:r>
            <w:r>
              <w:rPr>
                <w:sz w:val="24"/>
              </w:rPr>
              <w:t>复合氧化物催化剂的作用下，在</w:t>
            </w:r>
            <w:r>
              <w:rPr>
                <w:rFonts w:ascii="Times New Roman" w:hAnsi="Times New Roman"/>
                <w:sz w:val="24"/>
              </w:rPr>
              <w:t>SCR</w:t>
            </w:r>
            <w:r>
              <w:rPr>
                <w:sz w:val="24"/>
              </w:rPr>
              <w:t>脱硝反应系统中</w:t>
            </w:r>
            <w:r>
              <w:rPr>
                <w:rFonts w:ascii="Times New Roman" w:hAnsi="Times New Roman"/>
                <w:sz w:val="24"/>
              </w:rPr>
              <w:t>NO</w:t>
            </w:r>
            <w:r>
              <w:rPr>
                <w:sz w:val="24"/>
              </w:rPr>
              <w:t>和</w:t>
            </w:r>
            <w:r>
              <w:rPr>
                <w:rFonts w:ascii="Times New Roman" w:hAnsi="Times New Roman"/>
                <w:sz w:val="24"/>
              </w:rPr>
              <w:t>VOCs</w:t>
            </w:r>
            <w:r>
              <w:rPr>
                <w:sz w:val="24"/>
              </w:rPr>
              <w:t>主要发生的反应如下：</w:t>
            </w:r>
            <w:r>
              <w:rPr>
                <w:sz w:val="24"/>
              </w:rPr>
              <w:tab/>
            </w:r>
          </w:p>
          <w:p w:rsidR="00D67BE8" w:rsidRDefault="00EE050D">
            <w:pPr>
              <w:autoSpaceDE w:val="0"/>
              <w:autoSpaceDN w:val="0"/>
              <w:spacing w:line="360" w:lineRule="auto"/>
              <w:ind w:firstLineChars="200" w:firstLine="480"/>
              <w:rPr>
                <w:sz w:val="24"/>
              </w:rPr>
            </w:pPr>
            <m:oMath>
              <m:r>
                <m:rPr>
                  <m:sty m:val="p"/>
                </m:rPr>
                <w:rPr>
                  <w:rFonts w:ascii="Cambria Math" w:hAnsi="Cambria Math"/>
                  <w:sz w:val="24"/>
                </w:rPr>
                <m:t>4N</m:t>
              </m:r>
              <m:sSub>
                <m:sSubPr>
                  <m:ctrlPr>
                    <w:rPr>
                      <w:rFonts w:ascii="Cambria Math" w:hAnsi="Cambria Math"/>
                      <w:sz w:val="24"/>
                    </w:rPr>
                  </m:ctrlPr>
                </m:sSubPr>
                <m:e>
                  <m:r>
                    <m:rPr>
                      <m:sty m:val="p"/>
                    </m:rPr>
                    <w:rPr>
                      <w:rFonts w:ascii="Cambria Math" w:hAnsi="Cambria Math"/>
                      <w:sz w:val="24"/>
                    </w:rPr>
                    <m:t>H</m:t>
                  </m:r>
                </m:e>
                <m:sub>
                  <m:r>
                    <m:rPr>
                      <m:sty m:val="p"/>
                    </m:rPr>
                    <w:rPr>
                      <w:rFonts w:ascii="Cambria Math" w:hAnsi="Cambria Math"/>
                      <w:sz w:val="24"/>
                    </w:rPr>
                    <m:t>3</m:t>
                  </m:r>
                </m:sub>
              </m:sSub>
              <m:r>
                <m:rPr>
                  <m:sty m:val="p"/>
                </m:rPr>
                <w:rPr>
                  <w:rFonts w:ascii="Cambria Math" w:hAnsi="Cambria Math"/>
                  <w:sz w:val="24"/>
                </w:rPr>
                <m:t>+4NO+</m:t>
              </m:r>
              <m:sSub>
                <m:sSubPr>
                  <m:ctrlPr>
                    <w:rPr>
                      <w:rFonts w:ascii="Cambria Math" w:hAnsi="Cambria Math"/>
                      <w:sz w:val="24"/>
                    </w:rPr>
                  </m:ctrlPr>
                </m:sSubPr>
                <m:e>
                  <m:r>
                    <m:rPr>
                      <m:sty m:val="p"/>
                    </m:rPr>
                    <w:rPr>
                      <w:rFonts w:ascii="Cambria Math" w:hAnsi="Cambria Math"/>
                      <w:sz w:val="24"/>
                    </w:rPr>
                    <m:t>O</m:t>
                  </m:r>
                </m:e>
                <m:sub>
                  <m:r>
                    <m:rPr>
                      <m:sty m:val="p"/>
                    </m:rPr>
                    <w:rPr>
                      <w:rFonts w:ascii="Cambria Math" w:hAnsi="Cambria Math"/>
                      <w:sz w:val="24"/>
                    </w:rPr>
                    <m:t>2</m:t>
                  </m:r>
                </m:sub>
              </m:sSub>
              <m:box>
                <m:boxPr>
                  <m:opEmu m:val="1"/>
                  <m:ctrlPr>
                    <w:rPr>
                      <w:rFonts w:ascii="Cambria Math" w:hAnsi="Cambria Math"/>
                      <w:sz w:val="24"/>
                    </w:rPr>
                  </m:ctrlPr>
                </m:boxPr>
                <m:e>
                  <m:groupChr>
                    <m:groupChrPr>
                      <m:chr m:val="→"/>
                      <m:vertJc m:val="bot"/>
                      <m:ctrlPr>
                        <w:rPr>
                          <w:rFonts w:ascii="Cambria Math" w:hAnsi="Cambria Math"/>
                          <w:sz w:val="24"/>
                        </w:rPr>
                      </m:ctrlPr>
                    </m:groupChrPr>
                    <m:e>
                      <m:r>
                        <m:rPr>
                          <m:sty m:val="p"/>
                        </m:rPr>
                        <w:rPr>
                          <w:rFonts w:ascii="Cambria Math" w:hAnsi="Cambria Math"/>
                          <w:sz w:val="24"/>
                        </w:rPr>
                        <m:t>催化剂</m:t>
                      </m:r>
                    </m:e>
                  </m:groupChr>
                </m:e>
              </m:box>
              <m:r>
                <m:rPr>
                  <m:sty m:val="p"/>
                </m:rPr>
                <w:rPr>
                  <w:rFonts w:ascii="Cambria Math" w:hAnsi="Cambria Math"/>
                  <w:sz w:val="24"/>
                </w:rPr>
                <m:t>6</m:t>
              </m:r>
              <m:sSub>
                <m:sSubPr>
                  <m:ctrlPr>
                    <w:rPr>
                      <w:rFonts w:ascii="Cambria Math" w:hAnsi="Cambria Math"/>
                      <w:sz w:val="24"/>
                    </w:rPr>
                  </m:ctrlPr>
                </m:sSubPr>
                <m:e>
                  <m:r>
                    <m:rPr>
                      <m:sty m:val="p"/>
                    </m:rPr>
                    <w:rPr>
                      <w:rFonts w:ascii="Cambria Math" w:hAnsi="Cambria Math"/>
                      <w:sz w:val="24"/>
                    </w:rPr>
                    <m:t>H</m:t>
                  </m:r>
                </m:e>
                <m:sub>
                  <m:r>
                    <m:rPr>
                      <m:sty m:val="p"/>
                    </m:rPr>
                    <w:rPr>
                      <w:rFonts w:ascii="Cambria Math" w:hAnsi="Cambria Math"/>
                      <w:sz w:val="24"/>
                    </w:rPr>
                    <m:t>2</m:t>
                  </m:r>
                </m:sub>
              </m:sSub>
              <m:r>
                <m:rPr>
                  <m:sty m:val="p"/>
                </m:rPr>
                <w:rPr>
                  <w:rFonts w:ascii="Cambria Math" w:hAnsi="Cambria Math"/>
                  <w:sz w:val="24"/>
                </w:rPr>
                <m:t>O+4</m:t>
              </m:r>
              <m:sSub>
                <m:sSubPr>
                  <m:ctrlPr>
                    <w:rPr>
                      <w:rFonts w:ascii="Cambria Math" w:hAnsi="Cambria Math"/>
                      <w:sz w:val="24"/>
                    </w:rPr>
                  </m:ctrlPr>
                </m:sSubPr>
                <m:e>
                  <m:r>
                    <m:rPr>
                      <m:sty m:val="p"/>
                    </m:rPr>
                    <w:rPr>
                      <w:rFonts w:ascii="Cambria Math" w:hAnsi="Cambria Math"/>
                      <w:sz w:val="24"/>
                    </w:rPr>
                    <m:t>N</m:t>
                  </m:r>
                </m:e>
                <m:sub>
                  <m:r>
                    <m:rPr>
                      <m:sty m:val="p"/>
                    </m:rPr>
                    <w:rPr>
                      <w:rFonts w:ascii="Cambria Math" w:hAnsi="Cambria Math"/>
                      <w:sz w:val="24"/>
                    </w:rPr>
                    <m:t>2</m:t>
                  </m:r>
                </m:sub>
              </m:sSub>
            </m:oMath>
            <w:r>
              <w:rPr>
                <w:sz w:val="24"/>
              </w:rPr>
              <w:t xml:space="preserve">                           </w:t>
            </w:r>
            <w:r>
              <w:rPr>
                <w:rFonts w:hint="eastAsia"/>
                <w:sz w:val="24"/>
              </w:rPr>
              <w:t xml:space="preserve">     </w:t>
            </w:r>
            <w:r>
              <w:rPr>
                <w:rFonts w:ascii="Times New Roman" w:hAnsi="Times New Roman"/>
                <w:sz w:val="24"/>
              </w:rPr>
              <w:t>（</w:t>
            </w:r>
            <w:r>
              <w:rPr>
                <w:rFonts w:ascii="Times New Roman" w:hAnsi="Times New Roman"/>
                <w:sz w:val="24"/>
              </w:rPr>
              <w:t>1</w:t>
            </w:r>
            <w:r>
              <w:rPr>
                <w:rFonts w:ascii="Times New Roman" w:hAnsi="Times New Roman"/>
                <w:sz w:val="24"/>
              </w:rPr>
              <w:t>）</w:t>
            </w:r>
          </w:p>
          <w:p w:rsidR="00D67BE8" w:rsidRDefault="00EE050D">
            <w:pPr>
              <w:autoSpaceDE w:val="0"/>
              <w:autoSpaceDN w:val="0"/>
              <w:spacing w:line="360" w:lineRule="auto"/>
              <w:ind w:firstLineChars="200" w:firstLine="480"/>
              <w:rPr>
                <w:sz w:val="24"/>
              </w:rPr>
            </w:pPr>
            <m:oMath>
              <m:r>
                <m:rPr>
                  <m:sty m:val="p"/>
                </m:rPr>
                <w:rPr>
                  <w:rFonts w:ascii="Cambria Math" w:hAnsi="Cambria Math"/>
                  <w:sz w:val="24"/>
                </w:rPr>
                <m:t>8N</m:t>
              </m:r>
              <m:sSub>
                <m:sSubPr>
                  <m:ctrlPr>
                    <w:rPr>
                      <w:rFonts w:ascii="Cambria Math" w:hAnsi="Cambria Math"/>
                      <w:sz w:val="24"/>
                    </w:rPr>
                  </m:ctrlPr>
                </m:sSubPr>
                <m:e>
                  <m:r>
                    <m:rPr>
                      <m:sty m:val="p"/>
                    </m:rPr>
                    <w:rPr>
                      <w:rFonts w:ascii="Cambria Math" w:hAnsi="Cambria Math"/>
                      <w:sz w:val="24"/>
                    </w:rPr>
                    <m:t>H</m:t>
                  </m:r>
                </m:e>
                <m:sub>
                  <m:r>
                    <m:rPr>
                      <m:sty m:val="p"/>
                    </m:rPr>
                    <w:rPr>
                      <w:rFonts w:ascii="Cambria Math" w:hAnsi="Cambria Math"/>
                      <w:sz w:val="24"/>
                    </w:rPr>
                    <m:t>3</m:t>
                  </m:r>
                </m:sub>
              </m:sSub>
              <m:r>
                <m:rPr>
                  <m:sty m:val="p"/>
                </m:rPr>
                <w:rPr>
                  <w:rFonts w:ascii="Cambria Math" w:hAnsi="Cambria Math"/>
                  <w:sz w:val="24"/>
                </w:rPr>
                <m:t>+6NO</m:t>
              </m:r>
              <m:box>
                <m:boxPr>
                  <m:opEmu m:val="1"/>
                  <m:ctrlPr>
                    <w:rPr>
                      <w:rFonts w:ascii="Cambria Math" w:hAnsi="Cambria Math"/>
                      <w:sz w:val="24"/>
                    </w:rPr>
                  </m:ctrlPr>
                </m:boxPr>
                <m:e>
                  <m:groupChr>
                    <m:groupChrPr>
                      <m:chr m:val="→"/>
                      <m:vertJc m:val="bot"/>
                      <m:ctrlPr>
                        <w:rPr>
                          <w:rFonts w:ascii="Cambria Math" w:hAnsi="Cambria Math"/>
                          <w:sz w:val="24"/>
                        </w:rPr>
                      </m:ctrlPr>
                    </m:groupChrPr>
                    <m:e>
                      <m:r>
                        <m:rPr>
                          <m:sty m:val="p"/>
                        </m:rPr>
                        <w:rPr>
                          <w:rFonts w:ascii="Cambria Math" w:hAnsi="Cambria Math"/>
                          <w:sz w:val="24"/>
                        </w:rPr>
                        <m:t>催化剂</m:t>
                      </m:r>
                    </m:e>
                  </m:groupChr>
                </m:e>
              </m:box>
              <m:r>
                <m:rPr>
                  <m:sty m:val="p"/>
                </m:rPr>
                <w:rPr>
                  <w:rFonts w:ascii="Cambria Math" w:hAnsi="Cambria Math"/>
                  <w:sz w:val="24"/>
                </w:rPr>
                <m:t>12</m:t>
              </m:r>
              <m:sSub>
                <m:sSubPr>
                  <m:ctrlPr>
                    <w:rPr>
                      <w:rFonts w:ascii="Cambria Math" w:hAnsi="Cambria Math"/>
                      <w:sz w:val="24"/>
                    </w:rPr>
                  </m:ctrlPr>
                </m:sSubPr>
                <m:e>
                  <m:r>
                    <m:rPr>
                      <m:sty m:val="p"/>
                    </m:rPr>
                    <w:rPr>
                      <w:rFonts w:ascii="Cambria Math" w:hAnsi="Cambria Math"/>
                      <w:sz w:val="24"/>
                    </w:rPr>
                    <m:t>H</m:t>
                  </m:r>
                </m:e>
                <m:sub>
                  <m:r>
                    <m:rPr>
                      <m:sty m:val="p"/>
                    </m:rPr>
                    <w:rPr>
                      <w:rFonts w:ascii="Cambria Math" w:hAnsi="Cambria Math"/>
                      <w:sz w:val="24"/>
                    </w:rPr>
                    <m:t>2</m:t>
                  </m:r>
                </m:sub>
              </m:sSub>
              <m:r>
                <m:rPr>
                  <m:sty m:val="p"/>
                </m:rPr>
                <w:rPr>
                  <w:rFonts w:ascii="Cambria Math" w:hAnsi="Cambria Math"/>
                  <w:sz w:val="24"/>
                </w:rPr>
                <m:t>O+7</m:t>
              </m:r>
              <m:sSub>
                <m:sSubPr>
                  <m:ctrlPr>
                    <w:rPr>
                      <w:rFonts w:ascii="Cambria Math" w:hAnsi="Cambria Math"/>
                      <w:sz w:val="24"/>
                    </w:rPr>
                  </m:ctrlPr>
                </m:sSubPr>
                <m:e>
                  <m:r>
                    <m:rPr>
                      <m:sty m:val="p"/>
                    </m:rPr>
                    <w:rPr>
                      <w:rFonts w:ascii="Cambria Math" w:hAnsi="Cambria Math"/>
                      <w:sz w:val="24"/>
                    </w:rPr>
                    <m:t>N</m:t>
                  </m:r>
                </m:e>
                <m:sub>
                  <m:r>
                    <m:rPr>
                      <m:sty m:val="p"/>
                    </m:rPr>
                    <w:rPr>
                      <w:rFonts w:ascii="Cambria Math" w:hAnsi="Cambria Math"/>
                      <w:sz w:val="24"/>
                    </w:rPr>
                    <m:t>2</m:t>
                  </m:r>
                </m:sub>
              </m:sSub>
            </m:oMath>
            <w:r>
              <w:rPr>
                <w:sz w:val="24"/>
              </w:rPr>
              <w:t xml:space="preserve">                               </w:t>
            </w:r>
            <w:r>
              <w:rPr>
                <w:rFonts w:hint="eastAsia"/>
                <w:sz w:val="24"/>
              </w:rPr>
              <w:t xml:space="preserve">     </w:t>
            </w:r>
            <w:r>
              <w:rPr>
                <w:rFonts w:ascii="Times New Roman" w:hAnsi="Times New Roman"/>
                <w:sz w:val="24"/>
              </w:rPr>
              <w:t>（</w:t>
            </w:r>
            <w:r>
              <w:rPr>
                <w:rFonts w:ascii="Times New Roman" w:hAnsi="Times New Roman"/>
                <w:sz w:val="24"/>
              </w:rPr>
              <w:t>2</w:t>
            </w:r>
            <w:r>
              <w:rPr>
                <w:rFonts w:ascii="Times New Roman" w:hAnsi="Times New Roman"/>
                <w:sz w:val="24"/>
              </w:rPr>
              <w:t>）</w:t>
            </w:r>
          </w:p>
          <w:p w:rsidR="00D67BE8" w:rsidRDefault="006D280B">
            <w:pPr>
              <w:autoSpaceDE w:val="0"/>
              <w:autoSpaceDN w:val="0"/>
              <w:spacing w:line="360" w:lineRule="auto"/>
              <w:ind w:firstLineChars="200" w:firstLine="480"/>
              <w:rPr>
                <w:sz w:val="24"/>
              </w:rPr>
            </w:pPr>
            <m:oMath>
              <m:sSub>
                <m:sSubPr>
                  <m:ctrlPr>
                    <w:rPr>
                      <w:rFonts w:ascii="Cambria Math" w:hAnsi="Cambria Math"/>
                      <w:sz w:val="24"/>
                    </w:rPr>
                  </m:ctrlPr>
                </m:sSubPr>
                <m:e>
                  <m:r>
                    <m:rPr>
                      <m:sty m:val="p"/>
                    </m:rPr>
                    <w:rPr>
                      <w:rFonts w:ascii="Cambria Math" w:hAnsi="Cambria Math"/>
                      <w:sz w:val="24"/>
                    </w:rPr>
                    <m:t>C</m:t>
                  </m:r>
                </m:e>
                <m:sub>
                  <m:r>
                    <m:rPr>
                      <m:sty m:val="p"/>
                    </m:rPr>
                    <w:rPr>
                      <w:rFonts w:ascii="Cambria Math" w:hAnsi="Cambria Math"/>
                      <w:sz w:val="24"/>
                    </w:rPr>
                    <m:t>n</m:t>
                  </m:r>
                </m:sub>
              </m:sSub>
              <m:sSub>
                <m:sSubPr>
                  <m:ctrlPr>
                    <w:rPr>
                      <w:rFonts w:ascii="Cambria Math" w:hAnsi="Cambria Math"/>
                      <w:sz w:val="24"/>
                    </w:rPr>
                  </m:ctrlPr>
                </m:sSubPr>
                <m:e>
                  <m:r>
                    <m:rPr>
                      <m:sty m:val="p"/>
                    </m:rPr>
                    <w:rPr>
                      <w:rFonts w:ascii="Cambria Math" w:hAnsi="Cambria Math"/>
                      <w:sz w:val="24"/>
                    </w:rPr>
                    <m:t>H</m:t>
                  </m:r>
                </m:e>
                <m:sub>
                  <m:r>
                    <m:rPr>
                      <m:sty m:val="p"/>
                    </m:rPr>
                    <w:rPr>
                      <w:rFonts w:ascii="Cambria Math" w:hAnsi="Cambria Math"/>
                      <w:sz w:val="24"/>
                    </w:rPr>
                    <m:t>m</m:t>
                  </m:r>
                </m:sub>
              </m:sSub>
              <m:r>
                <m:rPr>
                  <m:sty m:val="p"/>
                </m:rPr>
                <w:rPr>
                  <w:rFonts w:ascii="Cambria Math" w:hAnsi="Cambria Math"/>
                  <w:sz w:val="24"/>
                </w:rPr>
                <m:t>+</m:t>
              </m:r>
              <m:d>
                <m:dPr>
                  <m:begChr m:val="（"/>
                  <m:endChr m:val="）"/>
                  <m:ctrlPr>
                    <w:rPr>
                      <w:rFonts w:ascii="Cambria Math" w:hAnsi="Cambria Math"/>
                      <w:sz w:val="24"/>
                    </w:rPr>
                  </m:ctrlPr>
                </m:dPr>
                <m:e>
                  <m:r>
                    <w:rPr>
                      <w:rFonts w:ascii="Cambria Math" w:hAnsi="Cambria Math"/>
                      <w:sz w:val="24"/>
                    </w:rPr>
                    <m:t>n</m:t>
                  </m:r>
                  <m:r>
                    <m:rPr>
                      <m:sty m:val="p"/>
                    </m:rPr>
                    <w:rPr>
                      <w:rFonts w:ascii="Cambria Math" w:hAnsi="Cambria Math"/>
                      <w:sz w:val="24"/>
                    </w:rPr>
                    <m:t>+</m:t>
                  </m:r>
                  <m:f>
                    <m:fPr>
                      <m:ctrlPr>
                        <w:rPr>
                          <w:rFonts w:ascii="Cambria Math" w:hAnsi="Cambria Math"/>
                          <w:sz w:val="24"/>
                        </w:rPr>
                      </m:ctrlPr>
                    </m:fPr>
                    <m:num>
                      <m:r>
                        <w:rPr>
                          <w:rFonts w:ascii="Cambria Math" w:hAnsi="Cambria Math"/>
                          <w:sz w:val="24"/>
                        </w:rPr>
                        <m:t>m</m:t>
                      </m:r>
                    </m:num>
                    <m:den>
                      <m:r>
                        <m:rPr>
                          <m:sty m:val="p"/>
                        </m:rPr>
                        <w:rPr>
                          <w:rFonts w:ascii="Cambria Math" w:hAnsi="Cambria Math"/>
                          <w:sz w:val="24"/>
                        </w:rPr>
                        <m:t>4</m:t>
                      </m:r>
                    </m:den>
                  </m:f>
                </m:e>
              </m:d>
              <m:sSub>
                <m:sSubPr>
                  <m:ctrlPr>
                    <w:rPr>
                      <w:rFonts w:ascii="Cambria Math" w:hAnsi="Cambria Math"/>
                      <w:sz w:val="24"/>
                    </w:rPr>
                  </m:ctrlPr>
                </m:sSubPr>
                <m:e>
                  <m:r>
                    <m:rPr>
                      <m:sty m:val="p"/>
                    </m:rPr>
                    <w:rPr>
                      <w:rFonts w:ascii="Cambria Math" w:hAnsi="Cambria Math"/>
                      <w:sz w:val="24"/>
                    </w:rPr>
                    <m:t>O</m:t>
                  </m:r>
                </m:e>
                <m:sub>
                  <m:r>
                    <m:rPr>
                      <m:sty m:val="p"/>
                    </m:rPr>
                    <w:rPr>
                      <w:rFonts w:ascii="Cambria Math" w:hAnsi="Cambria Math"/>
                      <w:sz w:val="24"/>
                    </w:rPr>
                    <m:t>2</m:t>
                  </m:r>
                </m:sub>
              </m:sSub>
              <m:box>
                <m:boxPr>
                  <m:opEmu m:val="1"/>
                  <m:ctrlPr>
                    <w:rPr>
                      <w:rFonts w:ascii="Cambria Math" w:hAnsi="Cambria Math"/>
                      <w:sz w:val="24"/>
                    </w:rPr>
                  </m:ctrlPr>
                </m:boxPr>
                <m:e>
                  <m:groupChr>
                    <m:groupChrPr>
                      <m:chr m:val="→"/>
                      <m:vertJc m:val="bot"/>
                      <m:ctrlPr>
                        <w:rPr>
                          <w:rFonts w:ascii="Cambria Math" w:hAnsi="Cambria Math"/>
                          <w:sz w:val="24"/>
                        </w:rPr>
                      </m:ctrlPr>
                    </m:groupChrPr>
                    <m:e>
                      <m:r>
                        <m:rPr>
                          <m:sty m:val="p"/>
                        </m:rPr>
                        <w:rPr>
                          <w:rFonts w:ascii="Cambria Math" w:hAnsi="Cambria Math"/>
                          <w:sz w:val="24"/>
                        </w:rPr>
                        <m:t>催化剂</m:t>
                      </m:r>
                    </m:e>
                  </m:groupChr>
                </m:e>
              </m:box>
              <m:r>
                <m:rPr>
                  <m:sty m:val="p"/>
                </m:rPr>
                <w:rPr>
                  <w:rFonts w:ascii="Cambria Math" w:hAnsi="Cambria Math"/>
                  <w:sz w:val="24"/>
                </w:rPr>
                <m:t>C</m:t>
              </m:r>
              <m:sSub>
                <m:sSubPr>
                  <m:ctrlPr>
                    <w:rPr>
                      <w:rFonts w:ascii="Cambria Math" w:hAnsi="Cambria Math"/>
                      <w:sz w:val="24"/>
                    </w:rPr>
                  </m:ctrlPr>
                </m:sSubPr>
                <m:e>
                  <m:r>
                    <m:rPr>
                      <m:sty m:val="p"/>
                    </m:rPr>
                    <w:rPr>
                      <w:rFonts w:ascii="Cambria Math" w:hAnsi="Cambria Math"/>
                      <w:sz w:val="24"/>
                    </w:rPr>
                    <m:t>O</m:t>
                  </m:r>
                </m:e>
                <m:sub>
                  <m:r>
                    <m:rPr>
                      <m:sty m:val="p"/>
                    </m:rPr>
                    <w:rPr>
                      <w:rFonts w:ascii="Cambria Math" w:hAnsi="Cambria Math"/>
                      <w:sz w:val="24"/>
                    </w:rPr>
                    <m:t>2</m:t>
                  </m:r>
                </m:sub>
              </m:sSub>
              <m:r>
                <m:rPr>
                  <m:sty m:val="p"/>
                </m:rPr>
                <w:rPr>
                  <w:rFonts w:ascii="Cambria Math" w:hAnsi="Cambria Math"/>
                  <w:sz w:val="24"/>
                </w:rPr>
                <m:t>+</m:t>
              </m:r>
              <m:f>
                <m:fPr>
                  <m:ctrlPr>
                    <w:rPr>
                      <w:rFonts w:ascii="Cambria Math" w:hAnsi="Cambria Math"/>
                      <w:sz w:val="24"/>
                    </w:rPr>
                  </m:ctrlPr>
                </m:fPr>
                <m:num>
                  <m:r>
                    <w:rPr>
                      <w:rFonts w:ascii="Cambria Math" w:hAnsi="Cambria Math"/>
                      <w:sz w:val="24"/>
                    </w:rPr>
                    <m:t>m</m:t>
                  </m:r>
                </m:num>
                <m:den>
                  <m:r>
                    <m:rPr>
                      <m:sty m:val="p"/>
                    </m:rPr>
                    <w:rPr>
                      <w:rFonts w:ascii="Cambria Math" w:hAnsi="Cambria Math"/>
                      <w:sz w:val="24"/>
                    </w:rPr>
                    <m:t>2</m:t>
                  </m:r>
                </m:den>
              </m:f>
              <m:sSub>
                <m:sSubPr>
                  <m:ctrlPr>
                    <w:rPr>
                      <w:rFonts w:ascii="Cambria Math" w:hAnsi="Cambria Math"/>
                      <w:sz w:val="24"/>
                    </w:rPr>
                  </m:ctrlPr>
                </m:sSubPr>
                <m:e>
                  <m:r>
                    <m:rPr>
                      <m:sty m:val="p"/>
                    </m:rPr>
                    <w:rPr>
                      <w:rFonts w:ascii="Cambria Math" w:hAnsi="Cambria Math"/>
                      <w:sz w:val="24"/>
                    </w:rPr>
                    <m:t>H</m:t>
                  </m:r>
                </m:e>
                <m:sub>
                  <m:r>
                    <m:rPr>
                      <m:sty m:val="p"/>
                    </m:rPr>
                    <w:rPr>
                      <w:rFonts w:ascii="Cambria Math" w:hAnsi="Cambria Math"/>
                      <w:sz w:val="24"/>
                    </w:rPr>
                    <m:t>2</m:t>
                  </m:r>
                </m:sub>
              </m:sSub>
              <m:r>
                <m:rPr>
                  <m:sty m:val="p"/>
                </m:rPr>
                <w:rPr>
                  <w:rFonts w:ascii="Cambria Math" w:hAnsi="Cambria Math"/>
                  <w:sz w:val="24"/>
                </w:rPr>
                <m:t>O</m:t>
              </m:r>
            </m:oMath>
            <w:r w:rsidR="00EE050D">
              <w:rPr>
                <w:sz w:val="24"/>
              </w:rPr>
              <w:t xml:space="preserve">    </w:t>
            </w:r>
            <w:r w:rsidR="00EE050D">
              <w:rPr>
                <w:sz w:val="24"/>
              </w:rPr>
              <w:fldChar w:fldCharType="begin"/>
            </w:r>
            <w:r w:rsidR="00EE050D">
              <w:rPr>
                <w:sz w:val="24"/>
              </w:rPr>
              <w:instrText xml:space="preserve"> QUOTE </w:instrText>
            </w:r>
            <m:oMath>
              <m:sSub>
                <m:sSubPr>
                  <m:ctrlPr>
                    <w:rPr>
                      <w:rFonts w:ascii="Cambria Math" w:hAnsi="Cambria Math"/>
                      <w:sz w:val="24"/>
                    </w:rPr>
                  </m:ctrlPr>
                </m:sSubPr>
                <m:e>
                  <m:r>
                    <m:rPr>
                      <m:sty m:val="p"/>
                    </m:rPr>
                    <w:rPr>
                      <w:rFonts w:ascii="Cambria Math" w:hAnsi="Cambria Math"/>
                      <w:sz w:val="24"/>
                    </w:rPr>
                    <m:t>C</m:t>
                  </m:r>
                </m:e>
                <m:sub>
                  <m:r>
                    <m:rPr>
                      <m:sty m:val="p"/>
                    </m:rPr>
                    <w:rPr>
                      <w:rFonts w:ascii="Cambria Math" w:hAnsi="Cambria Math"/>
                      <w:sz w:val="24"/>
                    </w:rPr>
                    <m:t>n</m:t>
                  </m:r>
                </m:sub>
              </m:sSub>
              <m:sSub>
                <m:sSubPr>
                  <m:ctrlPr>
                    <w:rPr>
                      <w:rFonts w:ascii="Cambria Math" w:hAnsi="Cambria Math"/>
                      <w:sz w:val="24"/>
                    </w:rPr>
                  </m:ctrlPr>
                </m:sSubPr>
                <m:e>
                  <m:r>
                    <m:rPr>
                      <m:sty m:val="p"/>
                    </m:rPr>
                    <w:rPr>
                      <w:rFonts w:ascii="Cambria Math" w:hAnsi="Cambria Math"/>
                      <w:sz w:val="24"/>
                    </w:rPr>
                    <m:t>H</m:t>
                  </m:r>
                </m:e>
                <m:sub>
                  <m:r>
                    <m:rPr>
                      <m:sty m:val="p"/>
                    </m:rPr>
                    <w:rPr>
                      <w:rFonts w:ascii="Cambria Math" w:hAnsi="Cambria Math"/>
                      <w:sz w:val="24"/>
                    </w:rPr>
                    <m:t>m</m:t>
                  </m:r>
                </m:sub>
              </m:sSub>
              <m:r>
                <m:rPr>
                  <m:sty m:val="p"/>
                </m:rPr>
                <w:rPr>
                  <w:rFonts w:ascii="Cambria Math" w:hAnsi="Cambria Math"/>
                  <w:sz w:val="24"/>
                </w:rPr>
                <m:t>+</m:t>
              </m:r>
              <m:d>
                <m:dPr>
                  <m:begChr m:val="（"/>
                  <m:endChr m:val="）"/>
                  <m:ctrlPr>
                    <w:rPr>
                      <w:rFonts w:ascii="Cambria Math" w:hAnsi="Cambria Math"/>
                      <w:sz w:val="24"/>
                    </w:rPr>
                  </m:ctrlPr>
                </m:dPr>
                <m:e>
                  <m:r>
                    <m:rPr>
                      <m:sty m:val="p"/>
                    </m:rPr>
                    <w:rPr>
                      <w:rFonts w:ascii="Cambria Math" w:hAnsi="Cambria Math"/>
                      <w:sz w:val="24"/>
                    </w:rPr>
                    <m:t>n+</m:t>
                  </m:r>
                  <m:f>
                    <m:fPr>
                      <m:ctrlPr>
                        <w:rPr>
                          <w:rFonts w:ascii="Cambria Math" w:hAnsi="Cambria Math"/>
                          <w:sz w:val="24"/>
                        </w:rPr>
                      </m:ctrlPr>
                    </m:fPr>
                    <m:num>
                      <m:r>
                        <m:rPr>
                          <m:sty m:val="p"/>
                        </m:rPr>
                        <w:rPr>
                          <w:rFonts w:ascii="Cambria Math" w:hAnsi="Cambria Math"/>
                          <w:sz w:val="24"/>
                        </w:rPr>
                        <m:t>m</m:t>
                      </m:r>
                    </m:num>
                    <m:den>
                      <m:r>
                        <m:rPr>
                          <m:sty m:val="p"/>
                        </m:rPr>
                        <w:rPr>
                          <w:rFonts w:ascii="Cambria Math" w:hAnsi="Cambria Math"/>
                          <w:sz w:val="24"/>
                        </w:rPr>
                        <m:t>4</m:t>
                      </m:r>
                    </m:den>
                  </m:f>
                </m:e>
              </m:d>
              <m:sSub>
                <m:sSubPr>
                  <m:ctrlPr>
                    <w:rPr>
                      <w:rFonts w:ascii="Cambria Math" w:hAnsi="Cambria Math"/>
                      <w:sz w:val="24"/>
                    </w:rPr>
                  </m:ctrlPr>
                </m:sSubPr>
                <m:e>
                  <m:r>
                    <m:rPr>
                      <m:sty m:val="p"/>
                    </m:rPr>
                    <w:rPr>
                      <w:rFonts w:ascii="Cambria Math" w:hAnsi="Cambria Math"/>
                      <w:sz w:val="24"/>
                    </w:rPr>
                    <m:t>O</m:t>
                  </m:r>
                </m:e>
                <m:sub>
                  <m:r>
                    <m:rPr>
                      <m:sty m:val="p"/>
                    </m:rPr>
                    <w:rPr>
                      <w:rFonts w:ascii="Cambria Math" w:hAnsi="Cambria Math"/>
                      <w:sz w:val="24"/>
                    </w:rPr>
                    <m:t>2</m:t>
                  </m:r>
                </m:sub>
              </m:sSub>
              <m:box>
                <m:boxPr>
                  <m:opEmu m:val="1"/>
                  <m:ctrlPr>
                    <w:rPr>
                      <w:rFonts w:ascii="Cambria Math" w:hAnsi="Cambria Math"/>
                      <w:sz w:val="24"/>
                    </w:rPr>
                  </m:ctrlPr>
                </m:boxPr>
                <m:e>
                  <m:groupChr>
                    <m:groupChrPr>
                      <m:chr m:val="→"/>
                      <m:vertJc m:val="bot"/>
                      <m:ctrlPr>
                        <w:rPr>
                          <w:rFonts w:ascii="Cambria Math" w:hAnsi="Cambria Math"/>
                          <w:sz w:val="24"/>
                        </w:rPr>
                      </m:ctrlPr>
                    </m:groupChrPr>
                    <m:e>
                      <m:r>
                        <m:rPr>
                          <m:sty m:val="p"/>
                        </m:rPr>
                        <w:rPr>
                          <w:rFonts w:ascii="Cambria Math" w:hAnsi="Cambria Math"/>
                          <w:sz w:val="24"/>
                        </w:rPr>
                        <m:t>催化剂</m:t>
                      </m:r>
                    </m:e>
                  </m:groupChr>
                </m:e>
              </m:box>
              <m:r>
                <m:rPr>
                  <m:sty m:val="p"/>
                </m:rPr>
                <w:rPr>
                  <w:rFonts w:ascii="Cambria Math" w:hAnsi="Cambria Math"/>
                  <w:sz w:val="24"/>
                </w:rPr>
                <m:t>C</m:t>
              </m:r>
              <m:sSub>
                <m:sSubPr>
                  <m:ctrlPr>
                    <w:rPr>
                      <w:rFonts w:ascii="Cambria Math" w:hAnsi="Cambria Math"/>
                      <w:sz w:val="24"/>
                    </w:rPr>
                  </m:ctrlPr>
                </m:sSubPr>
                <m:e>
                  <m:r>
                    <m:rPr>
                      <m:sty m:val="p"/>
                    </m:rPr>
                    <w:rPr>
                      <w:rFonts w:ascii="Cambria Math" w:hAnsi="Cambria Math"/>
                      <w:sz w:val="24"/>
                    </w:rPr>
                    <m:t>O</m:t>
                  </m:r>
                </m:e>
                <m:sub>
                  <m:r>
                    <m:rPr>
                      <m:sty m:val="p"/>
                    </m:rPr>
                    <w:rPr>
                      <w:rFonts w:ascii="Cambria Math" w:hAnsi="Cambria Math"/>
                      <w:sz w:val="24"/>
                    </w:rPr>
                    <m:t>2</m:t>
                  </m:r>
                </m:sub>
              </m:sSub>
              <m:r>
                <m:rPr>
                  <m:sty m:val="p"/>
                </m:rPr>
                <w:rPr>
                  <w:rFonts w:ascii="Cambria Math" w:hAnsi="Cambria Math"/>
                  <w:sz w:val="24"/>
                </w:rPr>
                <m:t>+</m:t>
              </m:r>
              <m:f>
                <m:fPr>
                  <m:ctrlPr>
                    <w:rPr>
                      <w:rFonts w:ascii="Cambria Math" w:hAnsi="Cambria Math"/>
                      <w:sz w:val="24"/>
                    </w:rPr>
                  </m:ctrlPr>
                </m:fPr>
                <m:num>
                  <m:r>
                    <m:rPr>
                      <m:sty m:val="p"/>
                    </m:rPr>
                    <w:rPr>
                      <w:rFonts w:ascii="Cambria Math" w:hAnsi="Cambria Math"/>
                      <w:sz w:val="24"/>
                    </w:rPr>
                    <m:t>m</m:t>
                  </m:r>
                </m:num>
                <m:den>
                  <m:r>
                    <m:rPr>
                      <m:sty m:val="p"/>
                    </m:rPr>
                    <w:rPr>
                      <w:rFonts w:ascii="Cambria Math" w:hAnsi="Cambria Math"/>
                      <w:sz w:val="24"/>
                    </w:rPr>
                    <m:t>2</m:t>
                  </m:r>
                </m:den>
              </m:f>
              <m:sSub>
                <m:sSubPr>
                  <m:ctrlPr>
                    <w:rPr>
                      <w:rFonts w:ascii="Cambria Math" w:hAnsi="Cambria Math"/>
                      <w:sz w:val="24"/>
                    </w:rPr>
                  </m:ctrlPr>
                </m:sSubPr>
                <m:e>
                  <m:r>
                    <m:rPr>
                      <m:sty m:val="p"/>
                    </m:rPr>
                    <w:rPr>
                      <w:rFonts w:ascii="Cambria Math" w:hAnsi="Cambria Math"/>
                      <w:sz w:val="24"/>
                    </w:rPr>
                    <m:t>H</m:t>
                  </m:r>
                </m:e>
                <m:sub>
                  <m:r>
                    <m:rPr>
                      <m:sty m:val="p"/>
                    </m:rPr>
                    <w:rPr>
                      <w:rFonts w:ascii="Cambria Math" w:hAnsi="Cambria Math"/>
                      <w:sz w:val="24"/>
                    </w:rPr>
                    <m:t>2</m:t>
                  </m:r>
                </m:sub>
              </m:sSub>
              <m:r>
                <m:rPr>
                  <m:sty m:val="p"/>
                </m:rPr>
                <w:rPr>
                  <w:rFonts w:ascii="Cambria Math" w:hAnsi="Cambria Math"/>
                  <w:sz w:val="24"/>
                </w:rPr>
                <m:t>O</m:t>
              </m:r>
            </m:oMath>
            <w:r w:rsidR="00EE050D">
              <w:rPr>
                <w:sz w:val="24"/>
              </w:rPr>
              <w:instrText xml:space="preserve"> </w:instrText>
            </w:r>
            <w:r w:rsidR="00EE050D">
              <w:rPr>
                <w:sz w:val="24"/>
              </w:rPr>
              <w:fldChar w:fldCharType="end"/>
            </w:r>
            <w:r w:rsidR="00EE050D">
              <w:rPr>
                <w:sz w:val="24"/>
              </w:rPr>
              <w:t xml:space="preserve">                        </w:t>
            </w:r>
            <w:r w:rsidR="00EE050D">
              <w:rPr>
                <w:rFonts w:hint="eastAsia"/>
                <w:sz w:val="24"/>
              </w:rPr>
              <w:t xml:space="preserve">   </w:t>
            </w:r>
            <w:r w:rsidR="00EE050D">
              <w:rPr>
                <w:rFonts w:ascii="Times New Roman" w:hAnsi="Times New Roman"/>
                <w:sz w:val="24"/>
              </w:rPr>
              <w:t>（</w:t>
            </w:r>
            <w:r w:rsidR="00EE050D">
              <w:rPr>
                <w:rFonts w:ascii="Times New Roman" w:hAnsi="Times New Roman"/>
                <w:sz w:val="24"/>
              </w:rPr>
              <w:t>3</w:t>
            </w:r>
            <w:r w:rsidR="00EE050D">
              <w:rPr>
                <w:rFonts w:ascii="Times New Roman" w:hAnsi="Times New Roman"/>
                <w:sz w:val="24"/>
              </w:rPr>
              <w:t>）</w:t>
            </w:r>
          </w:p>
          <w:p w:rsidR="00D67BE8" w:rsidRDefault="00EE050D" w:rsidP="00DE7B83">
            <w:pPr>
              <w:spacing w:line="440" w:lineRule="exact"/>
              <w:ind w:firstLineChars="200" w:firstLine="480"/>
              <w:rPr>
                <w:sz w:val="24"/>
              </w:rPr>
            </w:pPr>
            <w:r>
              <w:rPr>
                <w:rFonts w:ascii="Times New Roman" w:hAnsi="Times New Roman"/>
                <w:sz w:val="24"/>
              </w:rPr>
              <w:t>CeO</w:t>
            </w:r>
            <w:r>
              <w:rPr>
                <w:rFonts w:ascii="Times New Roman" w:hAnsi="Times New Roman"/>
                <w:sz w:val="24"/>
                <w:vertAlign w:val="subscript"/>
              </w:rPr>
              <w:t>2</w:t>
            </w:r>
            <w:r>
              <w:rPr>
                <w:sz w:val="24"/>
              </w:rPr>
              <w:t>具有强大的储氧能力，可以分别在氧化和还原条件下实现</w:t>
            </w:r>
            <w:r>
              <w:rPr>
                <w:rFonts w:ascii="Times New Roman" w:hAnsi="Times New Roman"/>
                <w:sz w:val="24"/>
              </w:rPr>
              <w:t>CeO</w:t>
            </w:r>
            <w:r>
              <w:rPr>
                <w:rFonts w:ascii="Times New Roman" w:hAnsi="Times New Roman"/>
                <w:sz w:val="24"/>
                <w:vertAlign w:val="subscript"/>
              </w:rPr>
              <w:t>2</w:t>
            </w:r>
            <w:r>
              <w:rPr>
                <w:sz w:val="24"/>
              </w:rPr>
              <w:t>与</w:t>
            </w:r>
            <w:r>
              <w:rPr>
                <w:rFonts w:ascii="Times New Roman" w:hAnsi="Times New Roman"/>
                <w:sz w:val="24"/>
              </w:rPr>
              <w:t>Ce</w:t>
            </w:r>
            <w:r>
              <w:rPr>
                <w:rFonts w:ascii="Times New Roman" w:hAnsi="Times New Roman"/>
                <w:sz w:val="24"/>
                <w:vertAlign w:val="subscript"/>
              </w:rPr>
              <w:t>2</w:t>
            </w:r>
            <w:r>
              <w:rPr>
                <w:rFonts w:ascii="Times New Roman" w:hAnsi="Times New Roman"/>
                <w:sz w:val="24"/>
              </w:rPr>
              <w:t>O</w:t>
            </w:r>
            <w:r>
              <w:rPr>
                <w:rFonts w:ascii="Times New Roman" w:hAnsi="Times New Roman"/>
                <w:sz w:val="24"/>
                <w:vertAlign w:val="subscript"/>
              </w:rPr>
              <w:t>3</w:t>
            </w:r>
            <w:r>
              <w:rPr>
                <w:sz w:val="24"/>
              </w:rPr>
              <w:t>之间转换的</w:t>
            </w:r>
            <w:r>
              <w:rPr>
                <w:rFonts w:ascii="Times New Roman" w:hAnsi="Times New Roman"/>
                <w:sz w:val="24"/>
              </w:rPr>
              <w:t>Ce</w:t>
            </w:r>
            <w:r>
              <w:rPr>
                <w:rFonts w:ascii="Times New Roman" w:hAnsi="Times New Roman"/>
                <w:sz w:val="24"/>
                <w:vertAlign w:val="superscript"/>
              </w:rPr>
              <w:t>4+</w:t>
            </w:r>
            <w:r>
              <w:rPr>
                <w:rFonts w:ascii="Times New Roman" w:hAnsi="Times New Roman"/>
                <w:sz w:val="24"/>
              </w:rPr>
              <w:t>/Ce</w:t>
            </w:r>
            <w:r>
              <w:rPr>
                <w:rFonts w:ascii="Times New Roman" w:hAnsi="Times New Roman"/>
                <w:sz w:val="24"/>
                <w:vertAlign w:val="superscript"/>
              </w:rPr>
              <w:t>3+</w:t>
            </w:r>
            <w:bookmarkStart w:id="1" w:name="OLE_LINK25"/>
            <w:r>
              <w:rPr>
                <w:sz w:val="24"/>
              </w:rPr>
              <w:t>氧化还原对</w:t>
            </w:r>
            <w:bookmarkEnd w:id="1"/>
            <w:r>
              <w:rPr>
                <w:sz w:val="24"/>
              </w:rPr>
              <w:t>(</w:t>
            </w:r>
            <m:oMath>
              <m:sSup>
                <m:sSupPr>
                  <m:ctrlPr>
                    <w:rPr>
                      <w:rFonts w:ascii="Cambria Math" w:hAnsi="Cambria Math"/>
                      <w:sz w:val="24"/>
                    </w:rPr>
                  </m:ctrlPr>
                </m:sSupPr>
                <m:e>
                  <m:r>
                    <m:rPr>
                      <m:sty m:val="p"/>
                    </m:rPr>
                    <w:rPr>
                      <w:rFonts w:ascii="Cambria Math" w:hAnsi="Cambria Math"/>
                      <w:sz w:val="24"/>
                    </w:rPr>
                    <m:t>Ce</m:t>
                  </m:r>
                </m:e>
                <m:sup>
                  <m:r>
                    <m:rPr>
                      <m:sty m:val="p"/>
                    </m:rPr>
                    <w:rPr>
                      <w:rFonts w:ascii="Cambria Math" w:hAnsi="Cambria Math"/>
                      <w:sz w:val="24"/>
                    </w:rPr>
                    <m:t>4+</m:t>
                  </m:r>
                </m:sup>
              </m:sSup>
              <m:box>
                <m:boxPr>
                  <m:opEmu m:val="1"/>
                  <m:ctrlPr>
                    <w:rPr>
                      <w:rFonts w:ascii="Cambria Math" w:hAnsi="Cambria Math"/>
                      <w:sz w:val="24"/>
                    </w:rPr>
                  </m:ctrlPr>
                </m:boxPr>
                <m:e>
                  <m:groupChr>
                    <m:groupChrPr>
                      <m:chr m:val="↔"/>
                      <m:vertJc m:val="bot"/>
                      <m:ctrlPr>
                        <w:rPr>
                          <w:rFonts w:ascii="Cambria Math" w:hAnsi="Cambria Math"/>
                          <w:sz w:val="24"/>
                        </w:rPr>
                      </m:ctrlPr>
                    </m:groupChrPr>
                    <m:e>
                      <m:r>
                        <m:rPr>
                          <m:sty m:val="p"/>
                        </m:rPr>
                        <w:rPr>
                          <w:rFonts w:ascii="Cambria Math" w:hAnsi="Cambria Math"/>
                          <w:sz w:val="24"/>
                        </w:rPr>
                        <m:t>e</m:t>
                      </m:r>
                    </m:e>
                  </m:groupChr>
                </m:e>
              </m:box>
              <m:sSup>
                <m:sSupPr>
                  <m:ctrlPr>
                    <w:rPr>
                      <w:rFonts w:ascii="Cambria Math" w:hAnsi="Cambria Math"/>
                      <w:sz w:val="24"/>
                    </w:rPr>
                  </m:ctrlPr>
                </m:sSupPr>
                <m:e>
                  <m:r>
                    <m:rPr>
                      <m:sty m:val="p"/>
                    </m:rPr>
                    <w:rPr>
                      <w:rFonts w:ascii="Cambria Math" w:hAnsi="Cambria Math"/>
                      <w:sz w:val="24"/>
                    </w:rPr>
                    <m:t>Ce</m:t>
                  </m:r>
                </m:e>
                <m:sup>
                  <m:r>
                    <m:rPr>
                      <m:sty m:val="p"/>
                    </m:rPr>
                    <w:rPr>
                      <w:rFonts w:ascii="Cambria Math" w:hAnsi="Cambria Math"/>
                      <w:sz w:val="24"/>
                    </w:rPr>
                    <m:t>3+</m:t>
                  </m:r>
                </m:sup>
              </m:sSup>
            </m:oMath>
            <w:r>
              <w:rPr>
                <w:rFonts w:ascii="Times New Roman" w:hAnsi="Times New Roman"/>
                <w:sz w:val="24"/>
              </w:rPr>
              <w:t>)</w:t>
            </w:r>
            <w:r>
              <w:rPr>
                <w:sz w:val="24"/>
              </w:rPr>
              <w:t>。在催化剂表面，</w:t>
            </w:r>
            <w:r>
              <w:rPr>
                <w:rFonts w:ascii="Times New Roman" w:hAnsi="Times New Roman"/>
                <w:sz w:val="24"/>
              </w:rPr>
              <w:t>CeO</w:t>
            </w:r>
            <w:r>
              <w:rPr>
                <w:rFonts w:ascii="Times New Roman" w:hAnsi="Times New Roman"/>
                <w:sz w:val="24"/>
                <w:vertAlign w:val="subscript"/>
              </w:rPr>
              <w:t>2</w:t>
            </w:r>
            <w:r>
              <w:rPr>
                <w:sz w:val="24"/>
              </w:rPr>
              <w:t>提供氧原子将</w:t>
            </w:r>
            <w:r>
              <w:rPr>
                <w:rFonts w:ascii="Times New Roman" w:hAnsi="Times New Roman"/>
                <w:sz w:val="24"/>
              </w:rPr>
              <w:t>VOCs</w:t>
            </w:r>
            <w:r>
              <w:rPr>
                <w:sz w:val="24"/>
              </w:rPr>
              <w:t>氧化成</w:t>
            </w:r>
            <w:r>
              <w:rPr>
                <w:rFonts w:ascii="Times New Roman" w:hAnsi="Times New Roman"/>
                <w:sz w:val="24"/>
              </w:rPr>
              <w:t>CO</w:t>
            </w:r>
            <w:r>
              <w:rPr>
                <w:rFonts w:ascii="Times New Roman" w:hAnsi="Times New Roman"/>
                <w:sz w:val="24"/>
                <w:vertAlign w:val="subscript"/>
              </w:rPr>
              <w:t>2</w:t>
            </w:r>
            <w:r>
              <w:rPr>
                <w:sz w:val="24"/>
              </w:rPr>
              <w:t>并自身产生氧空位，随后处于还原态</w:t>
            </w:r>
            <w:r>
              <w:rPr>
                <w:rFonts w:ascii="Times New Roman" w:hAnsi="Times New Roman"/>
                <w:sz w:val="24"/>
              </w:rPr>
              <w:t>Ce</w:t>
            </w:r>
            <w:r>
              <w:rPr>
                <w:rFonts w:ascii="Times New Roman" w:hAnsi="Times New Roman"/>
                <w:sz w:val="24"/>
                <w:vertAlign w:val="subscript"/>
              </w:rPr>
              <w:t>2</w:t>
            </w:r>
            <w:r>
              <w:rPr>
                <w:rFonts w:ascii="Times New Roman" w:hAnsi="Times New Roman"/>
                <w:sz w:val="24"/>
              </w:rPr>
              <w:t>O</w:t>
            </w:r>
            <w:r>
              <w:rPr>
                <w:rFonts w:ascii="Times New Roman" w:hAnsi="Times New Roman"/>
                <w:sz w:val="24"/>
                <w:vertAlign w:val="subscript"/>
              </w:rPr>
              <w:t>3</w:t>
            </w:r>
            <w:r>
              <w:rPr>
                <w:sz w:val="24"/>
              </w:rPr>
              <w:t>能够与</w:t>
            </w:r>
            <w:r>
              <w:rPr>
                <w:rFonts w:ascii="Times New Roman" w:hAnsi="Times New Roman"/>
                <w:sz w:val="24"/>
              </w:rPr>
              <w:t>NO</w:t>
            </w:r>
            <w:r>
              <w:rPr>
                <w:sz w:val="24"/>
              </w:rPr>
              <w:t>反应再获得氧原子而被氧化成</w:t>
            </w:r>
            <w:r>
              <w:rPr>
                <w:rFonts w:ascii="Times New Roman" w:hAnsi="Times New Roman"/>
                <w:sz w:val="24"/>
              </w:rPr>
              <w:t>CeO</w:t>
            </w:r>
            <w:r>
              <w:rPr>
                <w:rFonts w:ascii="Times New Roman" w:hAnsi="Times New Roman"/>
                <w:sz w:val="24"/>
                <w:vertAlign w:val="subscript"/>
              </w:rPr>
              <w:t>2</w:t>
            </w:r>
            <w:r>
              <w:rPr>
                <w:sz w:val="24"/>
              </w:rPr>
              <w:t>，</w:t>
            </w:r>
            <w:r>
              <w:rPr>
                <w:rFonts w:ascii="Times New Roman" w:hAnsi="Times New Roman"/>
                <w:sz w:val="24"/>
              </w:rPr>
              <w:t>NO</w:t>
            </w:r>
            <w:r>
              <w:rPr>
                <w:sz w:val="24"/>
              </w:rPr>
              <w:t>则被还原成</w:t>
            </w:r>
            <w:r>
              <w:rPr>
                <w:rFonts w:ascii="Times New Roman" w:hAnsi="Times New Roman"/>
                <w:sz w:val="24"/>
              </w:rPr>
              <w:t>N</w:t>
            </w:r>
            <w:r>
              <w:rPr>
                <w:rFonts w:ascii="Times New Roman" w:hAnsi="Times New Roman"/>
                <w:sz w:val="24"/>
                <w:vertAlign w:val="subscript"/>
              </w:rPr>
              <w:t>2</w:t>
            </w:r>
            <w:r>
              <w:rPr>
                <w:sz w:val="24"/>
              </w:rPr>
              <w:t>。通过金属离子</w:t>
            </w:r>
            <w:r>
              <w:rPr>
                <w:rFonts w:ascii="Times New Roman" w:hAnsi="Times New Roman"/>
                <w:sz w:val="24"/>
              </w:rPr>
              <w:t>Cu</w:t>
            </w:r>
            <w:r>
              <w:rPr>
                <w:sz w:val="24"/>
              </w:rPr>
              <w:t>掺杂改性，</w:t>
            </w:r>
            <w:r>
              <w:rPr>
                <w:rFonts w:ascii="Times New Roman" w:hAnsi="Times New Roman"/>
                <w:sz w:val="24"/>
              </w:rPr>
              <w:t>CeO</w:t>
            </w:r>
            <w:r>
              <w:rPr>
                <w:rFonts w:ascii="Times New Roman" w:hAnsi="Times New Roman"/>
                <w:sz w:val="24"/>
                <w:vertAlign w:val="subscript"/>
              </w:rPr>
              <w:t>2</w:t>
            </w:r>
            <w:r>
              <w:rPr>
                <w:sz w:val="24"/>
              </w:rPr>
              <w:t>与金属元素</w:t>
            </w:r>
            <w:r>
              <w:rPr>
                <w:rFonts w:ascii="Times New Roman" w:hAnsi="Times New Roman"/>
                <w:sz w:val="24"/>
              </w:rPr>
              <w:t>Cu</w:t>
            </w:r>
            <w:r>
              <w:rPr>
                <w:sz w:val="24"/>
              </w:rPr>
              <w:t>之间产生的协同作用，该协同作用将促进</w:t>
            </w:r>
            <w:bookmarkStart w:id="2" w:name="OLE_LINK15"/>
            <w:bookmarkStart w:id="3" w:name="OLE_LINK14"/>
            <w:r>
              <w:rPr>
                <w:rFonts w:ascii="Times New Roman" w:hAnsi="Times New Roman"/>
                <w:sz w:val="24"/>
              </w:rPr>
              <w:t>Ce</w:t>
            </w:r>
            <w:r>
              <w:rPr>
                <w:rFonts w:ascii="Times New Roman" w:hAnsi="Times New Roman"/>
                <w:sz w:val="24"/>
                <w:vertAlign w:val="superscript"/>
              </w:rPr>
              <w:t>4+</w:t>
            </w:r>
            <w:r>
              <w:rPr>
                <w:rFonts w:ascii="Times New Roman" w:hAnsi="Times New Roman"/>
                <w:sz w:val="24"/>
              </w:rPr>
              <w:t>/Ce</w:t>
            </w:r>
            <w:r>
              <w:rPr>
                <w:rFonts w:ascii="Times New Roman" w:hAnsi="Times New Roman"/>
                <w:sz w:val="24"/>
                <w:vertAlign w:val="superscript"/>
              </w:rPr>
              <w:t>3+</w:t>
            </w:r>
            <w:bookmarkEnd w:id="2"/>
            <w:bookmarkEnd w:id="3"/>
            <w:r>
              <w:rPr>
                <w:sz w:val="24"/>
              </w:rPr>
              <w:t>氧化还原对的转换过程，从而进一步促进催化剂表面活性氧和氧空穴产生，提高低温条件下协同控制</w:t>
            </w:r>
            <w:r>
              <w:rPr>
                <w:rFonts w:ascii="Times New Roman" w:hAnsi="Times New Roman"/>
                <w:sz w:val="24"/>
              </w:rPr>
              <w:t>NO</w:t>
            </w:r>
            <w:r>
              <w:rPr>
                <w:sz w:val="24"/>
              </w:rPr>
              <w:t>和</w:t>
            </w:r>
            <w:r>
              <w:rPr>
                <w:rFonts w:ascii="Times New Roman" w:hAnsi="Times New Roman"/>
                <w:sz w:val="24"/>
              </w:rPr>
              <w:t>VOCs</w:t>
            </w:r>
            <w:r>
              <w:rPr>
                <w:sz w:val="24"/>
              </w:rPr>
              <w:t>的催化性能，从而实现</w:t>
            </w:r>
            <w:r>
              <w:rPr>
                <w:rFonts w:ascii="Times New Roman" w:hAnsi="Times New Roman"/>
                <w:sz w:val="24"/>
              </w:rPr>
              <w:t>NO</w:t>
            </w:r>
            <w:r>
              <w:rPr>
                <w:sz w:val="24"/>
              </w:rPr>
              <w:t>和</w:t>
            </w:r>
            <w:r>
              <w:rPr>
                <w:rFonts w:ascii="Times New Roman" w:hAnsi="Times New Roman"/>
                <w:sz w:val="24"/>
              </w:rPr>
              <w:t>VOCs</w:t>
            </w:r>
            <w:r>
              <w:rPr>
                <w:sz w:val="24"/>
              </w:rPr>
              <w:t>的高效协同控制。</w:t>
            </w:r>
          </w:p>
          <w:p w:rsidR="00D67BE8" w:rsidRDefault="00EE050D" w:rsidP="00DE7B83">
            <w:pPr>
              <w:spacing w:line="440" w:lineRule="exact"/>
              <w:ind w:firstLineChars="200" w:firstLine="480"/>
              <w:rPr>
                <w:sz w:val="24"/>
              </w:rPr>
            </w:pPr>
            <w:r>
              <w:rPr>
                <w:sz w:val="24"/>
              </w:rPr>
              <w:t>研究</w:t>
            </w:r>
            <w:proofErr w:type="spellStart"/>
            <w:r>
              <w:rPr>
                <w:rFonts w:ascii="Times New Roman" w:hAnsi="Times New Roman"/>
                <w:sz w:val="24"/>
              </w:rPr>
              <w:t>FeCeO</w:t>
            </w:r>
            <w:r>
              <w:rPr>
                <w:rFonts w:ascii="Times New Roman" w:hAnsi="Times New Roman"/>
                <w:sz w:val="24"/>
                <w:vertAlign w:val="subscript"/>
              </w:rPr>
              <w:t>x</w:t>
            </w:r>
            <w:proofErr w:type="spellEnd"/>
            <w:r>
              <w:rPr>
                <w:rFonts w:ascii="Times New Roman" w:hAnsi="Times New Roman"/>
                <w:sz w:val="24"/>
              </w:rPr>
              <w:t>-Cu</w:t>
            </w:r>
            <w:r>
              <w:rPr>
                <w:sz w:val="24"/>
              </w:rPr>
              <w:t>复合氧化物催化剂促进</w:t>
            </w:r>
            <w:r>
              <w:rPr>
                <w:rFonts w:ascii="Times New Roman" w:hAnsi="Times New Roman"/>
                <w:sz w:val="24"/>
              </w:rPr>
              <w:t>VOCs</w:t>
            </w:r>
            <w:r>
              <w:rPr>
                <w:sz w:val="24"/>
              </w:rPr>
              <w:t>氧化的同时，考察</w:t>
            </w:r>
            <w:r>
              <w:rPr>
                <w:rFonts w:ascii="Times New Roman" w:hAnsi="Times New Roman"/>
                <w:sz w:val="24"/>
              </w:rPr>
              <w:t>SO</w:t>
            </w:r>
            <w:r>
              <w:rPr>
                <w:rFonts w:ascii="Times New Roman" w:hAnsi="Times New Roman"/>
                <w:sz w:val="24"/>
                <w:vertAlign w:val="subscript"/>
              </w:rPr>
              <w:t>2</w:t>
            </w:r>
            <w:r>
              <w:rPr>
                <w:sz w:val="24"/>
              </w:rPr>
              <w:t>氧化效率，避免或减少其对脱硝的抑制作用。在实验室进行模拟烟气低温脱硝协同去除</w:t>
            </w:r>
            <w:r>
              <w:rPr>
                <w:rFonts w:ascii="Times New Roman" w:hAnsi="Times New Roman"/>
                <w:sz w:val="24"/>
              </w:rPr>
              <w:t>VOCs</w:t>
            </w:r>
            <w:r>
              <w:rPr>
                <w:sz w:val="24"/>
              </w:rPr>
              <w:t>的实验研究，采用多因子分析，综合多工况条件、浓度变化等，分析反应条件对催化剂在低温条件下协同控制</w:t>
            </w:r>
            <w:r>
              <w:rPr>
                <w:rFonts w:ascii="Times New Roman" w:hAnsi="Times New Roman"/>
                <w:sz w:val="24"/>
              </w:rPr>
              <w:t>NO</w:t>
            </w:r>
            <w:r>
              <w:rPr>
                <w:sz w:val="24"/>
              </w:rPr>
              <w:t>和</w:t>
            </w:r>
            <w:r>
              <w:rPr>
                <w:rFonts w:ascii="Times New Roman" w:hAnsi="Times New Roman"/>
                <w:sz w:val="24"/>
              </w:rPr>
              <w:t>VOCs</w:t>
            </w:r>
            <w:r>
              <w:rPr>
                <w:sz w:val="24"/>
              </w:rPr>
              <w:t>性能的影响，同时考察催化剂的抗水抗硫性能，研究</w:t>
            </w:r>
            <w:proofErr w:type="spellStart"/>
            <w:r>
              <w:rPr>
                <w:rFonts w:ascii="Times New Roman" w:hAnsi="Times New Roman"/>
                <w:sz w:val="24"/>
              </w:rPr>
              <w:t>FeCeO</w:t>
            </w:r>
            <w:r>
              <w:rPr>
                <w:rFonts w:ascii="Times New Roman" w:hAnsi="Times New Roman"/>
                <w:sz w:val="24"/>
                <w:vertAlign w:val="subscript"/>
              </w:rPr>
              <w:t>x</w:t>
            </w:r>
            <w:proofErr w:type="spellEnd"/>
            <w:r>
              <w:rPr>
                <w:rFonts w:ascii="Times New Roman" w:hAnsi="Times New Roman"/>
                <w:sz w:val="24"/>
              </w:rPr>
              <w:t>-Cu</w:t>
            </w:r>
            <w:r>
              <w:rPr>
                <w:sz w:val="24"/>
              </w:rPr>
              <w:t>复合氧化物催化剂低温脱硝协同控制</w:t>
            </w:r>
            <w:r>
              <w:rPr>
                <w:rFonts w:ascii="Times New Roman" w:hAnsi="Times New Roman"/>
                <w:sz w:val="24"/>
              </w:rPr>
              <w:t>VOCs</w:t>
            </w:r>
            <w:r>
              <w:rPr>
                <w:sz w:val="24"/>
              </w:rPr>
              <w:t>反应过程的影响因素。对反应前、后的催化剂分别进行</w:t>
            </w:r>
            <w:r>
              <w:rPr>
                <w:rFonts w:ascii="Times New Roman" w:hAnsi="Times New Roman"/>
                <w:sz w:val="24"/>
              </w:rPr>
              <w:t>BET</w:t>
            </w:r>
            <w:r>
              <w:rPr>
                <w:rFonts w:ascii="Times New Roman" w:hAnsi="Times New Roman"/>
                <w:sz w:val="24"/>
              </w:rPr>
              <w:t>、</w:t>
            </w:r>
            <w:r>
              <w:rPr>
                <w:rFonts w:ascii="Times New Roman" w:hAnsi="Times New Roman"/>
                <w:sz w:val="24"/>
              </w:rPr>
              <w:t>XRD</w:t>
            </w:r>
            <w:r>
              <w:rPr>
                <w:rFonts w:ascii="Times New Roman" w:hAnsi="Times New Roman"/>
                <w:sz w:val="24"/>
              </w:rPr>
              <w:t>、</w:t>
            </w:r>
            <w:r>
              <w:rPr>
                <w:rFonts w:ascii="Times New Roman" w:hAnsi="Times New Roman"/>
                <w:sz w:val="24"/>
              </w:rPr>
              <w:t>H</w:t>
            </w:r>
            <w:r>
              <w:rPr>
                <w:rFonts w:ascii="Times New Roman" w:hAnsi="Times New Roman"/>
                <w:sz w:val="24"/>
                <w:vertAlign w:val="subscript"/>
              </w:rPr>
              <w:t>2</w:t>
            </w:r>
            <w:r>
              <w:rPr>
                <w:rFonts w:ascii="Times New Roman" w:hAnsi="Times New Roman"/>
                <w:sz w:val="24"/>
              </w:rPr>
              <w:t>-TPR</w:t>
            </w:r>
            <w:r>
              <w:rPr>
                <w:rFonts w:ascii="Times New Roman" w:hAnsi="Times New Roman"/>
                <w:sz w:val="24"/>
              </w:rPr>
              <w:t>、</w:t>
            </w:r>
            <w:r>
              <w:rPr>
                <w:rFonts w:ascii="Times New Roman" w:hAnsi="Times New Roman"/>
                <w:sz w:val="24"/>
              </w:rPr>
              <w:t>NH</w:t>
            </w:r>
            <w:r>
              <w:rPr>
                <w:rFonts w:ascii="Times New Roman" w:hAnsi="Times New Roman"/>
                <w:sz w:val="24"/>
                <w:vertAlign w:val="subscript"/>
              </w:rPr>
              <w:t>3</w:t>
            </w:r>
            <w:r>
              <w:rPr>
                <w:rFonts w:ascii="Times New Roman" w:hAnsi="Times New Roman"/>
                <w:sz w:val="24"/>
              </w:rPr>
              <w:t>-TPD</w:t>
            </w:r>
            <w:r>
              <w:rPr>
                <w:rFonts w:ascii="Times New Roman" w:hAnsi="Times New Roman"/>
                <w:sz w:val="24"/>
              </w:rPr>
              <w:t>、</w:t>
            </w:r>
            <w:r>
              <w:rPr>
                <w:rFonts w:ascii="Times New Roman" w:hAnsi="Times New Roman"/>
                <w:sz w:val="24"/>
              </w:rPr>
              <w:t>XPS</w:t>
            </w:r>
            <w:r>
              <w:rPr>
                <w:rFonts w:ascii="Times New Roman" w:hAnsi="Times New Roman"/>
                <w:sz w:val="24"/>
              </w:rPr>
              <w:t>、</w:t>
            </w:r>
            <w:r>
              <w:rPr>
                <w:rFonts w:ascii="Times New Roman" w:hAnsi="Times New Roman"/>
                <w:sz w:val="24"/>
              </w:rPr>
              <w:t>TEM</w:t>
            </w:r>
            <w:r>
              <w:rPr>
                <w:sz w:val="24"/>
              </w:rPr>
              <w:t>以及</w:t>
            </w:r>
            <w:r>
              <w:rPr>
                <w:rFonts w:ascii="Times New Roman" w:hAnsi="Times New Roman"/>
                <w:sz w:val="24"/>
              </w:rPr>
              <w:t>In-situ DRIFTS</w:t>
            </w:r>
            <w:r>
              <w:rPr>
                <w:rFonts w:ascii="Times New Roman" w:hAnsi="Times New Roman"/>
                <w:sz w:val="24"/>
              </w:rPr>
              <w:t>分</w:t>
            </w:r>
            <w:r>
              <w:rPr>
                <w:sz w:val="24"/>
              </w:rPr>
              <w:t>析，研究催化剂的结构、化学组分、表面形状等理化性质的变化，探讨</w:t>
            </w:r>
            <w:r>
              <w:rPr>
                <w:rFonts w:ascii="Times New Roman" w:hAnsi="Times New Roman"/>
                <w:sz w:val="24"/>
              </w:rPr>
              <w:t>Ce</w:t>
            </w:r>
            <w:r>
              <w:rPr>
                <w:sz w:val="24"/>
              </w:rPr>
              <w:t>、</w:t>
            </w:r>
            <w:r>
              <w:rPr>
                <w:rFonts w:ascii="Times New Roman" w:hAnsi="Times New Roman"/>
                <w:sz w:val="24"/>
              </w:rPr>
              <w:t>Fe</w:t>
            </w:r>
            <w:r>
              <w:rPr>
                <w:sz w:val="24"/>
              </w:rPr>
              <w:t>和金属离子</w:t>
            </w:r>
            <w:r>
              <w:rPr>
                <w:rFonts w:ascii="Times New Roman" w:hAnsi="Times New Roman"/>
                <w:sz w:val="24"/>
              </w:rPr>
              <w:t>Cu</w:t>
            </w:r>
            <w:r>
              <w:rPr>
                <w:sz w:val="24"/>
              </w:rPr>
              <w:t>在低温脱硝协同控制</w:t>
            </w:r>
            <w:r>
              <w:rPr>
                <w:rFonts w:ascii="Times New Roman" w:hAnsi="Times New Roman"/>
                <w:sz w:val="24"/>
              </w:rPr>
              <w:t>VOCs</w:t>
            </w:r>
            <w:r>
              <w:rPr>
                <w:sz w:val="24"/>
              </w:rPr>
              <w:t>反应的协同促进作用，建立催化剂结构</w:t>
            </w:r>
            <w:r>
              <w:rPr>
                <w:sz w:val="24"/>
              </w:rPr>
              <w:t>-</w:t>
            </w:r>
            <w:r>
              <w:rPr>
                <w:sz w:val="24"/>
              </w:rPr>
              <w:t>理化性质</w:t>
            </w:r>
            <w:r>
              <w:rPr>
                <w:sz w:val="24"/>
              </w:rPr>
              <w:t>-</w:t>
            </w:r>
            <w:r>
              <w:rPr>
                <w:sz w:val="24"/>
              </w:rPr>
              <w:t>催化活性的构效关系，阐明</w:t>
            </w:r>
            <w:proofErr w:type="spellStart"/>
            <w:r>
              <w:rPr>
                <w:rFonts w:ascii="Times New Roman" w:hAnsi="Times New Roman"/>
                <w:sz w:val="24"/>
              </w:rPr>
              <w:t>FeCeO</w:t>
            </w:r>
            <w:r>
              <w:rPr>
                <w:rFonts w:ascii="Times New Roman" w:hAnsi="Times New Roman"/>
                <w:sz w:val="24"/>
                <w:vertAlign w:val="subscript"/>
              </w:rPr>
              <w:t>x</w:t>
            </w:r>
            <w:proofErr w:type="spellEnd"/>
            <w:r>
              <w:rPr>
                <w:rFonts w:ascii="Times New Roman" w:hAnsi="Times New Roman"/>
                <w:sz w:val="24"/>
              </w:rPr>
              <w:t>-Cu</w:t>
            </w:r>
            <w:r>
              <w:rPr>
                <w:sz w:val="24"/>
              </w:rPr>
              <w:t>复合氧化物催化剂低温脱硝协同控制</w:t>
            </w:r>
            <w:r>
              <w:rPr>
                <w:rFonts w:ascii="Times New Roman" w:hAnsi="Times New Roman"/>
                <w:sz w:val="24"/>
              </w:rPr>
              <w:t>VOCs</w:t>
            </w:r>
            <w:r>
              <w:rPr>
                <w:sz w:val="24"/>
              </w:rPr>
              <w:t>的反应机理。</w:t>
            </w:r>
          </w:p>
          <w:p w:rsidR="00D67BE8" w:rsidRDefault="00EE050D">
            <w:pPr>
              <w:autoSpaceDE w:val="0"/>
              <w:autoSpaceDN w:val="0"/>
              <w:spacing w:line="360" w:lineRule="auto"/>
              <w:rPr>
                <w:sz w:val="24"/>
              </w:rPr>
            </w:pPr>
            <w:r>
              <w:rPr>
                <w:sz w:val="24"/>
              </w:rPr>
              <w:t>要解决的主要问题</w:t>
            </w:r>
            <w:r>
              <w:rPr>
                <w:rFonts w:hint="eastAsia"/>
                <w:sz w:val="24"/>
              </w:rPr>
              <w:t>:</w:t>
            </w:r>
          </w:p>
          <w:p w:rsidR="00D67BE8" w:rsidRDefault="00EE050D" w:rsidP="00DE7B83">
            <w:pPr>
              <w:spacing w:line="440" w:lineRule="exact"/>
              <w:ind w:firstLineChars="200" w:firstLine="480"/>
              <w:rPr>
                <w:sz w:val="24"/>
              </w:rPr>
            </w:pPr>
            <w:r>
              <w:rPr>
                <w:sz w:val="24"/>
              </w:rPr>
              <w:t>（</w:t>
            </w:r>
            <w:r>
              <w:rPr>
                <w:sz w:val="24"/>
              </w:rPr>
              <w:t>1</w:t>
            </w:r>
            <w:r>
              <w:rPr>
                <w:sz w:val="24"/>
              </w:rPr>
              <w:t>）铈基催化剂结构调控问题。我们将研究如何利用铈基催化剂的构效关系来进行催化剂结构调变，实现催化剂表面理化性质的定向控制，使催化剂能够在</w:t>
            </w:r>
            <w:r>
              <w:rPr>
                <w:sz w:val="24"/>
              </w:rPr>
              <w:lastRenderedPageBreak/>
              <w:t>低温条件下高效协同控制</w:t>
            </w:r>
            <w:r>
              <w:rPr>
                <w:rFonts w:ascii="Times New Roman" w:hAnsi="Times New Roman"/>
                <w:sz w:val="24"/>
              </w:rPr>
              <w:t>NO</w:t>
            </w:r>
            <w:r>
              <w:rPr>
                <w:sz w:val="24"/>
              </w:rPr>
              <w:t>和</w:t>
            </w:r>
            <w:r>
              <w:rPr>
                <w:rFonts w:ascii="Times New Roman" w:hAnsi="Times New Roman"/>
                <w:sz w:val="24"/>
              </w:rPr>
              <w:t>VOCs</w:t>
            </w:r>
            <w:r>
              <w:rPr>
                <w:sz w:val="24"/>
              </w:rPr>
              <w:t>。</w:t>
            </w:r>
            <w:r>
              <w:rPr>
                <w:sz w:val="24"/>
              </w:rPr>
              <w:t xml:space="preserve"> </w:t>
            </w:r>
          </w:p>
          <w:p w:rsidR="00D67BE8" w:rsidRDefault="00EE050D" w:rsidP="00DE7B83">
            <w:pPr>
              <w:spacing w:line="440" w:lineRule="exact"/>
              <w:ind w:firstLineChars="200" w:firstLine="480"/>
              <w:rPr>
                <w:sz w:val="24"/>
              </w:rPr>
            </w:pPr>
            <w:r>
              <w:rPr>
                <w:sz w:val="24"/>
              </w:rPr>
              <w:t>（</w:t>
            </w:r>
            <w:r>
              <w:rPr>
                <w:sz w:val="24"/>
              </w:rPr>
              <w:t>2</w:t>
            </w:r>
            <w:r>
              <w:rPr>
                <w:sz w:val="24"/>
              </w:rPr>
              <w:t>）催化还原</w:t>
            </w:r>
            <w:r>
              <w:rPr>
                <w:rFonts w:ascii="Times New Roman" w:hAnsi="Times New Roman"/>
                <w:sz w:val="24"/>
              </w:rPr>
              <w:t>NO</w:t>
            </w:r>
            <w:r>
              <w:rPr>
                <w:sz w:val="24"/>
              </w:rPr>
              <w:t>和催化氧化</w:t>
            </w:r>
            <w:r>
              <w:rPr>
                <w:rFonts w:ascii="Times New Roman" w:hAnsi="Times New Roman"/>
                <w:sz w:val="24"/>
              </w:rPr>
              <w:t>VOCs</w:t>
            </w:r>
            <w:r>
              <w:rPr>
                <w:sz w:val="24"/>
              </w:rPr>
              <w:t>的集成问题。本项目将研究如何在不影响脱硝效率的同时提高</w:t>
            </w:r>
            <w:r>
              <w:rPr>
                <w:rFonts w:ascii="Times New Roman" w:hAnsi="Times New Roman"/>
                <w:sz w:val="24"/>
              </w:rPr>
              <w:t>VOCs</w:t>
            </w:r>
            <w:r>
              <w:rPr>
                <w:sz w:val="24"/>
              </w:rPr>
              <w:t>的氧化效率。考察</w:t>
            </w:r>
            <w:r>
              <w:rPr>
                <w:rFonts w:ascii="Times New Roman" w:hAnsi="Times New Roman"/>
                <w:sz w:val="24"/>
              </w:rPr>
              <w:t>SO</w:t>
            </w:r>
            <w:r>
              <w:rPr>
                <w:rFonts w:ascii="Times New Roman" w:hAnsi="Times New Roman"/>
                <w:sz w:val="24"/>
                <w:vertAlign w:val="subscript"/>
              </w:rPr>
              <w:t>2</w:t>
            </w:r>
            <w:r>
              <w:rPr>
                <w:sz w:val="24"/>
              </w:rPr>
              <w:t>氧化效率，避免或减少</w:t>
            </w:r>
            <w:r>
              <w:rPr>
                <w:rFonts w:ascii="Times New Roman" w:hAnsi="Times New Roman"/>
                <w:sz w:val="24"/>
              </w:rPr>
              <w:t>SO</w:t>
            </w:r>
            <w:r>
              <w:rPr>
                <w:rFonts w:ascii="Times New Roman" w:hAnsi="Times New Roman"/>
                <w:sz w:val="24"/>
                <w:vertAlign w:val="subscript"/>
              </w:rPr>
              <w:t>2</w:t>
            </w:r>
            <w:r>
              <w:rPr>
                <w:sz w:val="24"/>
              </w:rPr>
              <w:t>氧化对脱硝的抑制作用。研究</w:t>
            </w:r>
            <w:r>
              <w:rPr>
                <w:rFonts w:ascii="Times New Roman" w:hAnsi="Times New Roman"/>
                <w:sz w:val="24"/>
              </w:rPr>
              <w:t>NO</w:t>
            </w:r>
            <w:r>
              <w:rPr>
                <w:sz w:val="24"/>
              </w:rPr>
              <w:t>和</w:t>
            </w:r>
            <w:r>
              <w:rPr>
                <w:rFonts w:ascii="Times New Roman" w:hAnsi="Times New Roman"/>
                <w:sz w:val="24"/>
              </w:rPr>
              <w:t>VOCs</w:t>
            </w:r>
            <w:r>
              <w:rPr>
                <w:sz w:val="24"/>
              </w:rPr>
              <w:t>的相互影响规律，实现工业烟气</w:t>
            </w:r>
            <w:r>
              <w:rPr>
                <w:rFonts w:ascii="Times New Roman" w:hAnsi="Times New Roman"/>
                <w:sz w:val="24"/>
              </w:rPr>
              <w:t>NO</w:t>
            </w:r>
            <w:r>
              <w:rPr>
                <w:rFonts w:ascii="Times New Roman" w:hAnsi="Times New Roman"/>
                <w:sz w:val="24"/>
                <w:vertAlign w:val="subscript"/>
              </w:rPr>
              <w:t>x</w:t>
            </w:r>
            <w:r>
              <w:rPr>
                <w:sz w:val="24"/>
              </w:rPr>
              <w:t>和</w:t>
            </w:r>
            <w:r>
              <w:rPr>
                <w:rFonts w:ascii="Times New Roman" w:hAnsi="Times New Roman"/>
                <w:sz w:val="24"/>
              </w:rPr>
              <w:t>VOCs</w:t>
            </w:r>
            <w:r>
              <w:rPr>
                <w:sz w:val="24"/>
              </w:rPr>
              <w:t>的高效协同控制。</w:t>
            </w:r>
          </w:p>
          <w:p w:rsidR="00D67BE8" w:rsidRPr="00CC698C" w:rsidRDefault="00EE050D" w:rsidP="00DE7B83">
            <w:pPr>
              <w:numPr>
                <w:ilvl w:val="0"/>
                <w:numId w:val="4"/>
              </w:numPr>
              <w:tabs>
                <w:tab w:val="clear" w:pos="972"/>
                <w:tab w:val="left" w:pos="792"/>
              </w:tabs>
              <w:snapToGrid w:val="0"/>
              <w:spacing w:beforeLines="100" w:before="312" w:afterLines="50" w:after="156" w:line="440" w:lineRule="exact"/>
              <w:ind w:left="970" w:hanging="970"/>
              <w:rPr>
                <w:rFonts w:ascii="黑体" w:eastAsia="黑体" w:hAnsi="黑体"/>
                <w:b/>
                <w:bCs/>
                <w:sz w:val="24"/>
              </w:rPr>
            </w:pPr>
            <w:r w:rsidRPr="00CC698C">
              <w:rPr>
                <w:rFonts w:ascii="黑体" w:eastAsia="黑体" w:hAnsi="黑体" w:hint="eastAsia"/>
                <w:b/>
                <w:bCs/>
                <w:sz w:val="24"/>
              </w:rPr>
              <w:t>国、内外研究现状和发展动态</w:t>
            </w:r>
          </w:p>
          <w:p w:rsidR="00D67BE8" w:rsidRDefault="00EE050D" w:rsidP="00DE7B83">
            <w:pPr>
              <w:spacing w:line="440" w:lineRule="exact"/>
              <w:ind w:firstLineChars="200" w:firstLine="480"/>
              <w:rPr>
                <w:sz w:val="24"/>
              </w:rPr>
            </w:pPr>
            <w:r>
              <w:rPr>
                <w:sz w:val="24"/>
              </w:rPr>
              <w:t>近年来，随着重化工业的高速发展，以化石燃料为主的能源消耗大幅度攀升，排放大量的大气环境污染物导致大气污染问题严重。其中，来自热电厂、钢铁、冶金、炼油、化工等固定源以及机动车尾气等移动源的氮氧化物（</w:t>
            </w:r>
            <w:r>
              <w:rPr>
                <w:rFonts w:ascii="Times New Roman" w:hAnsi="Times New Roman"/>
                <w:sz w:val="24"/>
              </w:rPr>
              <w:t>NO</w:t>
            </w:r>
            <w:r>
              <w:rPr>
                <w:rFonts w:ascii="Times New Roman" w:hAnsi="Times New Roman"/>
                <w:sz w:val="24"/>
                <w:vertAlign w:val="subscript"/>
              </w:rPr>
              <w:t>x</w:t>
            </w:r>
            <w:r>
              <w:rPr>
                <w:sz w:val="24"/>
              </w:rPr>
              <w:t>）和挥发性有机物（</w:t>
            </w:r>
            <w:r>
              <w:rPr>
                <w:rFonts w:ascii="Times New Roman" w:hAnsi="Times New Roman"/>
                <w:sz w:val="24"/>
              </w:rPr>
              <w:t>VOCs</w:t>
            </w:r>
            <w:r>
              <w:rPr>
                <w:sz w:val="24"/>
              </w:rPr>
              <w:t>）被认为是大气环境污染物的重要组成部分。</w:t>
            </w:r>
            <w:r>
              <w:rPr>
                <w:rFonts w:ascii="Times New Roman" w:hAnsi="Times New Roman"/>
                <w:sz w:val="24"/>
              </w:rPr>
              <w:t>NO</w:t>
            </w:r>
            <w:r>
              <w:rPr>
                <w:rFonts w:ascii="Times New Roman" w:hAnsi="Times New Roman"/>
                <w:sz w:val="24"/>
                <w:vertAlign w:val="subscript"/>
              </w:rPr>
              <w:t>x</w:t>
            </w:r>
            <w:r>
              <w:rPr>
                <w:sz w:val="24"/>
              </w:rPr>
              <w:t>可造成酸雨、光化学烟雾及臭氧层破坏等环境问题，是灰霾产生的重要元凶之一</w:t>
            </w:r>
            <w:r>
              <w:rPr>
                <w:rFonts w:ascii="Times New Roman" w:hAnsi="Times New Roman"/>
                <w:sz w:val="24"/>
                <w:vertAlign w:val="superscript"/>
              </w:rPr>
              <w:t>[1, 2]</w:t>
            </w:r>
            <w:r>
              <w:rPr>
                <w:sz w:val="24"/>
              </w:rPr>
              <w:t>。绝大多数</w:t>
            </w:r>
            <w:r>
              <w:rPr>
                <w:rFonts w:ascii="Times New Roman" w:hAnsi="Times New Roman"/>
                <w:sz w:val="24"/>
              </w:rPr>
              <w:t>VOCs</w:t>
            </w:r>
            <w:r>
              <w:rPr>
                <w:sz w:val="24"/>
              </w:rPr>
              <w:t>，如甲醛、苯、甲苯和二甲苯等，不仅危害人体健康（如苯系物可致癌、致畸），而且导致臭氧和细颗粒物</w:t>
            </w:r>
            <w:r>
              <w:rPr>
                <w:rFonts w:ascii="Times New Roman" w:hAnsi="Times New Roman"/>
                <w:sz w:val="24"/>
              </w:rPr>
              <w:t>PM</w:t>
            </w:r>
            <w:r>
              <w:rPr>
                <w:sz w:val="24"/>
              </w:rPr>
              <w:t>2.5</w:t>
            </w:r>
            <w:r>
              <w:rPr>
                <w:sz w:val="24"/>
              </w:rPr>
              <w:t>等二次污染物生成的主要物质</w:t>
            </w:r>
            <w:r>
              <w:rPr>
                <w:rFonts w:ascii="Times New Roman" w:hAnsi="Times New Roman"/>
                <w:sz w:val="24"/>
                <w:vertAlign w:val="superscript"/>
              </w:rPr>
              <w:t>[3, 4]</w:t>
            </w:r>
            <w:r>
              <w:rPr>
                <w:sz w:val="24"/>
              </w:rPr>
              <w:t>。</w:t>
            </w:r>
            <w:r>
              <w:rPr>
                <w:rFonts w:ascii="Times New Roman" w:hAnsi="Times New Roman"/>
                <w:sz w:val="24"/>
              </w:rPr>
              <w:t>NO</w:t>
            </w:r>
            <w:r>
              <w:rPr>
                <w:rFonts w:ascii="Times New Roman" w:hAnsi="Times New Roman"/>
                <w:sz w:val="24"/>
                <w:vertAlign w:val="subscript"/>
              </w:rPr>
              <w:t>x</w:t>
            </w:r>
            <w:r>
              <w:rPr>
                <w:sz w:val="24"/>
              </w:rPr>
              <w:t>和</w:t>
            </w:r>
            <w:r>
              <w:rPr>
                <w:rFonts w:ascii="Times New Roman" w:hAnsi="Times New Roman"/>
                <w:sz w:val="24"/>
              </w:rPr>
              <w:t>VOCs</w:t>
            </w:r>
            <w:r>
              <w:rPr>
                <w:sz w:val="24"/>
              </w:rPr>
              <w:t>的过度排放已经严重威胁群众的身体健康，影响环境安全</w:t>
            </w:r>
            <w:r>
              <w:rPr>
                <w:rFonts w:ascii="Times New Roman" w:hAnsi="Times New Roman"/>
                <w:sz w:val="24"/>
                <w:vertAlign w:val="superscript"/>
              </w:rPr>
              <w:t>[5]</w:t>
            </w:r>
            <w:r>
              <w:rPr>
                <w:sz w:val="24"/>
              </w:rPr>
              <w:t>。因此，迫切需要开展</w:t>
            </w:r>
            <w:r>
              <w:rPr>
                <w:rFonts w:ascii="Times New Roman" w:hAnsi="Times New Roman"/>
                <w:sz w:val="24"/>
              </w:rPr>
              <w:t>NO</w:t>
            </w:r>
            <w:r>
              <w:rPr>
                <w:rFonts w:ascii="Times New Roman" w:hAnsi="Times New Roman"/>
                <w:sz w:val="24"/>
                <w:vertAlign w:val="subscript"/>
              </w:rPr>
              <w:t>x</w:t>
            </w:r>
            <w:r>
              <w:rPr>
                <w:sz w:val="24"/>
              </w:rPr>
              <w:t>和</w:t>
            </w:r>
            <w:r>
              <w:rPr>
                <w:rFonts w:ascii="Times New Roman" w:hAnsi="Times New Roman"/>
                <w:sz w:val="24"/>
              </w:rPr>
              <w:t>VOCs</w:t>
            </w:r>
            <w:r>
              <w:rPr>
                <w:sz w:val="24"/>
              </w:rPr>
              <w:t>的减排研究。我国全面实施燃煤电厂超低排放和节能改造</w:t>
            </w:r>
            <w:r>
              <w:rPr>
                <w:sz w:val="24"/>
              </w:rPr>
              <w:t>,</w:t>
            </w:r>
            <w:r>
              <w:rPr>
                <w:sz w:val="24"/>
              </w:rPr>
              <w:t>大幅降低了氮氧化物排放。但是，多数非电行业，如钢铁、化工、建材等，仍然尚未实现氮氧化物的有效处理及控制。</w:t>
            </w:r>
            <w:r>
              <w:rPr>
                <w:rFonts w:ascii="Times New Roman" w:hAnsi="Times New Roman"/>
                <w:sz w:val="24"/>
              </w:rPr>
              <w:t>VOCs</w:t>
            </w:r>
            <w:r>
              <w:rPr>
                <w:sz w:val="24"/>
              </w:rPr>
              <w:t>治理方面主要处于试验研究阶段，几乎所有的相关企业还未安装</w:t>
            </w:r>
            <w:r>
              <w:rPr>
                <w:rFonts w:ascii="Times New Roman" w:hAnsi="Times New Roman"/>
                <w:sz w:val="24"/>
              </w:rPr>
              <w:t>VOCs</w:t>
            </w:r>
            <w:r>
              <w:rPr>
                <w:sz w:val="24"/>
              </w:rPr>
              <w:t>处理装置，并且缺乏有效的、拥有自主知识产权的</w:t>
            </w:r>
            <w:r>
              <w:rPr>
                <w:rFonts w:ascii="Times New Roman" w:hAnsi="Times New Roman"/>
                <w:sz w:val="24"/>
              </w:rPr>
              <w:t xml:space="preserve">VOCs </w:t>
            </w:r>
            <w:r>
              <w:rPr>
                <w:sz w:val="24"/>
              </w:rPr>
              <w:t>治理技术。总体而言，钢铁、化工、建材等各种行业所排放的</w:t>
            </w:r>
            <w:r>
              <w:rPr>
                <w:rFonts w:ascii="Times New Roman" w:hAnsi="Times New Roman"/>
                <w:sz w:val="24"/>
              </w:rPr>
              <w:t>NO</w:t>
            </w:r>
            <w:r>
              <w:rPr>
                <w:rFonts w:ascii="Times New Roman" w:hAnsi="Times New Roman"/>
                <w:sz w:val="24"/>
                <w:vertAlign w:val="subscript"/>
              </w:rPr>
              <w:t>x</w:t>
            </w:r>
            <w:r>
              <w:rPr>
                <w:sz w:val="24"/>
              </w:rPr>
              <w:t>和</w:t>
            </w:r>
            <w:r>
              <w:rPr>
                <w:rFonts w:ascii="Times New Roman" w:hAnsi="Times New Roman"/>
                <w:sz w:val="24"/>
              </w:rPr>
              <w:t>VOCs</w:t>
            </w:r>
            <w:r>
              <w:rPr>
                <w:sz w:val="24"/>
              </w:rPr>
              <w:t>控制形式非常严峻，研究开发针对钢铁、化工等行业烟气的高效新型</w:t>
            </w:r>
            <w:r>
              <w:rPr>
                <w:rFonts w:ascii="Times New Roman" w:hAnsi="Times New Roman"/>
                <w:sz w:val="24"/>
              </w:rPr>
              <w:t>NO</w:t>
            </w:r>
            <w:r>
              <w:rPr>
                <w:rFonts w:ascii="Times New Roman" w:hAnsi="Times New Roman"/>
                <w:sz w:val="24"/>
                <w:vertAlign w:val="subscript"/>
              </w:rPr>
              <w:t>x</w:t>
            </w:r>
            <w:r>
              <w:rPr>
                <w:sz w:val="24"/>
              </w:rPr>
              <w:t>和</w:t>
            </w:r>
            <w:r>
              <w:rPr>
                <w:rFonts w:ascii="Times New Roman" w:hAnsi="Times New Roman"/>
                <w:sz w:val="24"/>
              </w:rPr>
              <w:t>VOCs</w:t>
            </w:r>
            <w:r>
              <w:rPr>
                <w:sz w:val="24"/>
              </w:rPr>
              <w:t xml:space="preserve"> </w:t>
            </w:r>
            <w:r>
              <w:rPr>
                <w:sz w:val="24"/>
              </w:rPr>
              <w:t>处理技术迫在眉睫。</w:t>
            </w:r>
          </w:p>
          <w:p w:rsidR="00D67BE8" w:rsidRDefault="00EE050D" w:rsidP="00DE7B83">
            <w:pPr>
              <w:spacing w:line="440" w:lineRule="exact"/>
              <w:ind w:firstLineChars="200" w:firstLine="480"/>
              <w:rPr>
                <w:sz w:val="24"/>
              </w:rPr>
            </w:pPr>
            <w:r>
              <w:rPr>
                <w:sz w:val="24"/>
              </w:rPr>
              <w:t>截止目前，国内外已经先后开发出一系列针对</w:t>
            </w:r>
            <w:r>
              <w:rPr>
                <w:rFonts w:ascii="Times New Roman" w:hAnsi="Times New Roman"/>
                <w:sz w:val="24"/>
              </w:rPr>
              <w:t>NO</w:t>
            </w:r>
            <w:r>
              <w:rPr>
                <w:rFonts w:ascii="Times New Roman" w:hAnsi="Times New Roman"/>
                <w:sz w:val="24"/>
                <w:vertAlign w:val="subscript"/>
              </w:rPr>
              <w:t>x</w:t>
            </w:r>
            <w:r>
              <w:rPr>
                <w:sz w:val="24"/>
              </w:rPr>
              <w:t>和</w:t>
            </w:r>
            <w:r>
              <w:rPr>
                <w:rFonts w:ascii="Times New Roman" w:hAnsi="Times New Roman"/>
                <w:sz w:val="24"/>
              </w:rPr>
              <w:t>VOCs</w:t>
            </w:r>
            <w:r>
              <w:rPr>
                <w:sz w:val="24"/>
              </w:rPr>
              <w:t>等单一污染物的排放控制技术。其中，一些技术已经在国内外得到广泛使用，如氨选择性催化还原（</w:t>
            </w:r>
            <w:r>
              <w:rPr>
                <w:rFonts w:ascii="Times New Roman" w:hAnsi="Times New Roman"/>
                <w:sz w:val="24"/>
              </w:rPr>
              <w:t>NH</w:t>
            </w:r>
            <w:r>
              <w:rPr>
                <w:rFonts w:ascii="Times New Roman" w:hAnsi="Times New Roman"/>
                <w:sz w:val="24"/>
                <w:vertAlign w:val="subscript"/>
              </w:rPr>
              <w:t>3</w:t>
            </w:r>
            <w:r>
              <w:rPr>
                <w:rFonts w:ascii="Times New Roman" w:hAnsi="Times New Roman"/>
                <w:sz w:val="24"/>
              </w:rPr>
              <w:t>-SCR</w:t>
            </w:r>
            <w:r>
              <w:rPr>
                <w:sz w:val="24"/>
              </w:rPr>
              <w:t>）脱硝技术，催化氧化消除</w:t>
            </w:r>
            <w:r>
              <w:rPr>
                <w:rFonts w:ascii="Times New Roman" w:hAnsi="Times New Roman"/>
                <w:sz w:val="24"/>
              </w:rPr>
              <w:t>VOCs</w:t>
            </w:r>
            <w:r>
              <w:rPr>
                <w:sz w:val="24"/>
              </w:rPr>
              <w:t>等。这些技术的特点是：一项技术通过一套专门的设备针对单一污染物进行脱除，若想达到烟气达标排放，则需要将多个处理设备进行串联。这种污染物的分级治理方式，不仅占地面积大，而且存在投资、管理、运行费用及其能耗高等一系列问题，对于工业烟气污染控制的经济性和适用性是非常不利的。催化氧化法消除</w:t>
            </w:r>
            <w:r>
              <w:rPr>
                <w:rFonts w:ascii="Times New Roman" w:hAnsi="Times New Roman"/>
                <w:sz w:val="24"/>
              </w:rPr>
              <w:t>VOCs</w:t>
            </w:r>
            <w:r>
              <w:rPr>
                <w:sz w:val="24"/>
              </w:rPr>
              <w:t>是公认的最有效手段之一，能把有毒害的</w:t>
            </w:r>
            <w:r>
              <w:rPr>
                <w:rFonts w:ascii="Times New Roman" w:hAnsi="Times New Roman"/>
                <w:sz w:val="24"/>
              </w:rPr>
              <w:t>VOCs</w:t>
            </w:r>
            <w:r>
              <w:rPr>
                <w:sz w:val="24"/>
              </w:rPr>
              <w:t xml:space="preserve"> </w:t>
            </w:r>
            <w:r>
              <w:rPr>
                <w:sz w:val="24"/>
              </w:rPr>
              <w:t>转化为无害化的</w:t>
            </w:r>
            <w:r>
              <w:rPr>
                <w:rFonts w:ascii="Times New Roman" w:hAnsi="Times New Roman"/>
                <w:sz w:val="24"/>
              </w:rPr>
              <w:t>CO</w:t>
            </w:r>
            <w:r>
              <w:rPr>
                <w:rFonts w:ascii="Times New Roman" w:hAnsi="Times New Roman"/>
                <w:sz w:val="24"/>
                <w:vertAlign w:val="subscript"/>
              </w:rPr>
              <w:t>2</w:t>
            </w:r>
            <w:r>
              <w:rPr>
                <w:sz w:val="24"/>
              </w:rPr>
              <w:t xml:space="preserve"> </w:t>
            </w:r>
            <w:r>
              <w:rPr>
                <w:sz w:val="24"/>
              </w:rPr>
              <w:t>和</w:t>
            </w:r>
            <w:r>
              <w:rPr>
                <w:rFonts w:ascii="Times New Roman" w:hAnsi="Times New Roman"/>
                <w:sz w:val="24"/>
              </w:rPr>
              <w:t>H</w:t>
            </w:r>
            <w:r>
              <w:rPr>
                <w:rFonts w:ascii="Times New Roman" w:hAnsi="Times New Roman"/>
                <w:sz w:val="24"/>
                <w:vertAlign w:val="subscript"/>
              </w:rPr>
              <w:t>2</w:t>
            </w:r>
            <w:r>
              <w:rPr>
                <w:rFonts w:ascii="Times New Roman" w:hAnsi="Times New Roman"/>
                <w:sz w:val="24"/>
              </w:rPr>
              <w:t>O</w:t>
            </w:r>
            <w:r>
              <w:rPr>
                <w:sz w:val="24"/>
              </w:rPr>
              <w:t xml:space="preserve"> </w:t>
            </w:r>
            <w:r>
              <w:rPr>
                <w:sz w:val="24"/>
              </w:rPr>
              <w:t>等。由于该方法具有可在远低于直接氧化温度下处理中低浓度的</w:t>
            </w:r>
            <w:r>
              <w:rPr>
                <w:rFonts w:ascii="Times New Roman" w:hAnsi="Times New Roman"/>
                <w:sz w:val="24"/>
              </w:rPr>
              <w:t>VOCs</w:t>
            </w:r>
            <w:r>
              <w:rPr>
                <w:sz w:val="24"/>
              </w:rPr>
              <w:t>，而且净化效率高、无二次污染以及</w:t>
            </w:r>
            <w:r>
              <w:rPr>
                <w:sz w:val="24"/>
              </w:rPr>
              <w:lastRenderedPageBreak/>
              <w:t>能耗低等显著特点而被广泛应用于工业烟气中。催化氧化法消除</w:t>
            </w:r>
            <w:r>
              <w:rPr>
                <w:rFonts w:ascii="Times New Roman" w:hAnsi="Times New Roman"/>
                <w:sz w:val="24"/>
              </w:rPr>
              <w:t>VOCs</w:t>
            </w:r>
            <w:r>
              <w:rPr>
                <w:sz w:val="24"/>
              </w:rPr>
              <w:t>的核心是催化剂。有大量研究表明，金属氧化物催化剂因含有多种氧化态的金属离子和晶格缺陷，有利于</w:t>
            </w:r>
            <w:r>
              <w:rPr>
                <w:rFonts w:ascii="Times New Roman" w:hAnsi="Times New Roman"/>
                <w:sz w:val="24"/>
              </w:rPr>
              <w:t>VOCs</w:t>
            </w:r>
            <w:r>
              <w:rPr>
                <w:sz w:val="24"/>
              </w:rPr>
              <w:t>和</w:t>
            </w:r>
            <w:r>
              <w:rPr>
                <w:rFonts w:ascii="Times New Roman" w:hAnsi="Times New Roman"/>
                <w:sz w:val="24"/>
              </w:rPr>
              <w:t>O</w:t>
            </w:r>
            <w:r>
              <w:rPr>
                <w:rFonts w:ascii="Times New Roman" w:hAnsi="Times New Roman"/>
                <w:sz w:val="24"/>
                <w:vertAlign w:val="subscript"/>
              </w:rPr>
              <w:t>2</w:t>
            </w:r>
            <w:r>
              <w:rPr>
                <w:sz w:val="24"/>
              </w:rPr>
              <w:t>的吸附与活化，对</w:t>
            </w:r>
            <w:r>
              <w:rPr>
                <w:rFonts w:ascii="Times New Roman" w:hAnsi="Times New Roman"/>
                <w:sz w:val="24"/>
              </w:rPr>
              <w:t>VOCs</w:t>
            </w:r>
            <w:r>
              <w:rPr>
                <w:sz w:val="24"/>
              </w:rPr>
              <w:t>具有氧化作用</w:t>
            </w:r>
            <w:r>
              <w:rPr>
                <w:rFonts w:ascii="Times New Roman" w:hAnsi="Times New Roman"/>
                <w:sz w:val="24"/>
                <w:vertAlign w:val="superscript"/>
              </w:rPr>
              <w:t>[6-10]</w:t>
            </w:r>
            <w:r>
              <w:rPr>
                <w:sz w:val="24"/>
              </w:rPr>
              <w:t>。但尚没有发现运用烟气脱硝净化装置协同控制</w:t>
            </w:r>
            <w:r>
              <w:rPr>
                <w:rFonts w:ascii="Times New Roman" w:hAnsi="Times New Roman"/>
                <w:sz w:val="24"/>
              </w:rPr>
              <w:t>VOCs</w:t>
            </w:r>
            <w:r>
              <w:rPr>
                <w:sz w:val="24"/>
              </w:rPr>
              <w:t xml:space="preserve"> </w:t>
            </w:r>
            <w:r>
              <w:rPr>
                <w:sz w:val="24"/>
              </w:rPr>
              <w:t>的研究报导。因此，研究开发能够高效还原</w:t>
            </w:r>
            <w:r>
              <w:rPr>
                <w:rFonts w:ascii="Times New Roman" w:hAnsi="Times New Roman"/>
                <w:sz w:val="24"/>
              </w:rPr>
              <w:t>NO</w:t>
            </w:r>
            <w:r>
              <w:rPr>
                <w:sz w:val="24"/>
              </w:rPr>
              <w:t>的同时将</w:t>
            </w:r>
            <w:r>
              <w:rPr>
                <w:rFonts w:ascii="Times New Roman" w:hAnsi="Times New Roman"/>
                <w:sz w:val="24"/>
              </w:rPr>
              <w:t>VOCs</w:t>
            </w:r>
            <w:r>
              <w:rPr>
                <w:sz w:val="24"/>
              </w:rPr>
              <w:t>高效氧化的双功能金属氧化物催化剂体系，不但可以实现工业烟气中氮氧化物和挥发性有机物的协同高效处理，而且在工业应用中还可降低成本，非常适合我国现阶段的国情，具有重要的理论、经济和现实意义。</w:t>
            </w:r>
            <w:bookmarkStart w:id="4" w:name="OLE_LINK37"/>
          </w:p>
          <w:p w:rsidR="00D67BE8" w:rsidRDefault="00EE050D" w:rsidP="00DE7B83">
            <w:pPr>
              <w:spacing w:line="440" w:lineRule="exact"/>
              <w:ind w:firstLineChars="200" w:firstLine="480"/>
              <w:rPr>
                <w:sz w:val="24"/>
              </w:rPr>
            </w:pPr>
            <w:r>
              <w:rPr>
                <w:sz w:val="24"/>
              </w:rPr>
              <w:t>至今为止，工业上去除</w:t>
            </w:r>
            <w:r>
              <w:rPr>
                <w:rFonts w:ascii="Times New Roman" w:hAnsi="Times New Roman"/>
                <w:sz w:val="24"/>
              </w:rPr>
              <w:t>NO</w:t>
            </w:r>
            <w:r>
              <w:rPr>
                <w:rFonts w:ascii="Times New Roman" w:hAnsi="Times New Roman"/>
                <w:sz w:val="24"/>
                <w:vertAlign w:val="subscript"/>
              </w:rPr>
              <w:t>x</w:t>
            </w:r>
            <w:r>
              <w:rPr>
                <w:sz w:val="24"/>
              </w:rPr>
              <w:t>和</w:t>
            </w:r>
            <w:r>
              <w:rPr>
                <w:rFonts w:ascii="Times New Roman" w:hAnsi="Times New Roman"/>
                <w:sz w:val="24"/>
              </w:rPr>
              <w:t>VOCs</w:t>
            </w:r>
            <w:r>
              <w:rPr>
                <w:sz w:val="24"/>
              </w:rPr>
              <w:t>所采用的催化剂主要围绕贵金属和过渡金属（</w:t>
            </w:r>
            <w:r>
              <w:rPr>
                <w:rFonts w:ascii="Times New Roman" w:hAnsi="Times New Roman"/>
                <w:sz w:val="24"/>
              </w:rPr>
              <w:t>Mn</w:t>
            </w:r>
            <w:r>
              <w:rPr>
                <w:rFonts w:ascii="Times New Roman" w:hAnsi="Times New Roman"/>
                <w:sz w:val="24"/>
              </w:rPr>
              <w:t>、</w:t>
            </w:r>
            <w:r>
              <w:rPr>
                <w:rFonts w:ascii="Times New Roman" w:hAnsi="Times New Roman"/>
                <w:sz w:val="24"/>
              </w:rPr>
              <w:t>V</w:t>
            </w:r>
            <w:r>
              <w:rPr>
                <w:rFonts w:ascii="Times New Roman" w:hAnsi="Times New Roman"/>
                <w:sz w:val="24"/>
              </w:rPr>
              <w:t>、</w:t>
            </w:r>
            <w:r>
              <w:rPr>
                <w:rFonts w:ascii="Times New Roman" w:hAnsi="Times New Roman"/>
                <w:sz w:val="24"/>
              </w:rPr>
              <w:t>Cu</w:t>
            </w:r>
            <w:r>
              <w:rPr>
                <w:sz w:val="24"/>
              </w:rPr>
              <w:t>等）氧化物两大类催化剂。贵金属材料成本高，难以推广，结果，非贵金属迅速取代贵金属应用于</w:t>
            </w:r>
            <w:r>
              <w:rPr>
                <w:rFonts w:ascii="Times New Roman" w:hAnsi="Times New Roman"/>
                <w:sz w:val="24"/>
              </w:rPr>
              <w:t>SCR</w:t>
            </w:r>
            <w:r>
              <w:rPr>
                <w:sz w:val="24"/>
              </w:rPr>
              <w:t>脱硝和催化氧化</w:t>
            </w:r>
            <w:r>
              <w:rPr>
                <w:rFonts w:ascii="Times New Roman" w:hAnsi="Times New Roman"/>
                <w:sz w:val="24"/>
              </w:rPr>
              <w:t>VOCs</w:t>
            </w:r>
            <w:r>
              <w:rPr>
                <w:sz w:val="24"/>
              </w:rPr>
              <w:t>。其中，</w:t>
            </w:r>
            <w:bookmarkEnd w:id="4"/>
            <w:r>
              <w:rPr>
                <w:sz w:val="24"/>
              </w:rPr>
              <w:t>商用钒基</w:t>
            </w:r>
            <w:r>
              <w:rPr>
                <w:rFonts w:ascii="Times New Roman" w:hAnsi="Times New Roman"/>
                <w:sz w:val="24"/>
              </w:rPr>
              <w:t>SCR</w:t>
            </w:r>
            <w:r>
              <w:rPr>
                <w:sz w:val="24"/>
              </w:rPr>
              <w:t>脱硝催化剂因为其较高活性、抗水抗硫性能较好，在脱硝领域得到广泛的应用。然而，就目前来看，钒基</w:t>
            </w:r>
            <w:r>
              <w:rPr>
                <w:rFonts w:ascii="Times New Roman" w:hAnsi="Times New Roman"/>
                <w:sz w:val="24"/>
              </w:rPr>
              <w:t>SCR</w:t>
            </w:r>
            <w:r>
              <w:rPr>
                <w:sz w:val="24"/>
              </w:rPr>
              <w:t>脱硝催化剂仍然面临着一些有待解决的问题。例如，钒基</w:t>
            </w:r>
            <w:r>
              <w:rPr>
                <w:rFonts w:ascii="Times New Roman" w:hAnsi="Times New Roman"/>
                <w:sz w:val="24"/>
              </w:rPr>
              <w:t>SCR</w:t>
            </w:r>
            <w:r>
              <w:rPr>
                <w:sz w:val="24"/>
              </w:rPr>
              <w:t>催化剂的温度窗口窄（</w:t>
            </w:r>
            <w:r>
              <w:rPr>
                <w:sz w:val="24"/>
              </w:rPr>
              <w:t>300-420</w:t>
            </w:r>
            <w:bookmarkStart w:id="5" w:name="OLE_LINK8"/>
            <w:bookmarkStart w:id="6" w:name="OLE_LINK7"/>
            <w:r>
              <w:rPr>
                <w:rFonts w:ascii="Times New Roman" w:hAnsi="Times New Roman"/>
                <w:sz w:val="24"/>
                <w:vertAlign w:val="superscript"/>
              </w:rPr>
              <w:t>o</w:t>
            </w:r>
            <w:r>
              <w:rPr>
                <w:rFonts w:ascii="Times New Roman" w:hAnsi="Times New Roman"/>
                <w:sz w:val="24"/>
              </w:rPr>
              <w:t>C</w:t>
            </w:r>
            <w:bookmarkEnd w:id="5"/>
            <w:bookmarkEnd w:id="6"/>
            <w:r>
              <w:rPr>
                <w:sz w:val="24"/>
              </w:rPr>
              <w:t>）、工作温度高，无法满足钢铁等行业低温脱硝的需求；钒基</w:t>
            </w:r>
            <w:r>
              <w:rPr>
                <w:rFonts w:ascii="Times New Roman" w:hAnsi="Times New Roman"/>
                <w:sz w:val="24"/>
              </w:rPr>
              <w:t>SCR</w:t>
            </w:r>
            <w:r>
              <w:rPr>
                <w:sz w:val="24"/>
              </w:rPr>
              <w:t>催化剂对普通</w:t>
            </w:r>
            <w:r>
              <w:rPr>
                <w:rFonts w:ascii="Times New Roman" w:hAnsi="Times New Roman"/>
                <w:sz w:val="24"/>
              </w:rPr>
              <w:t>VOCs</w:t>
            </w:r>
            <w:r>
              <w:rPr>
                <w:sz w:val="24"/>
              </w:rPr>
              <w:t xml:space="preserve"> (</w:t>
            </w:r>
            <w:r>
              <w:rPr>
                <w:sz w:val="24"/>
              </w:rPr>
              <w:t>例如苯</w:t>
            </w:r>
            <w:r>
              <w:rPr>
                <w:sz w:val="24"/>
              </w:rPr>
              <w:t>)</w:t>
            </w:r>
            <w:r>
              <w:rPr>
                <w:sz w:val="24"/>
              </w:rPr>
              <w:t>的催化氧化能力有限</w:t>
            </w:r>
            <w:r>
              <w:rPr>
                <w:rFonts w:ascii="Times New Roman" w:hAnsi="Times New Roman"/>
                <w:sz w:val="24"/>
                <w:vertAlign w:val="superscript"/>
              </w:rPr>
              <w:t>[11]</w:t>
            </w:r>
            <w:r>
              <w:rPr>
                <w:sz w:val="24"/>
              </w:rPr>
              <w:t>。解决上述问题的关键是需要设计低温</w:t>
            </w:r>
            <w:r>
              <w:rPr>
                <w:rFonts w:ascii="Times New Roman" w:hAnsi="Times New Roman"/>
                <w:sz w:val="24"/>
              </w:rPr>
              <w:t>NH</w:t>
            </w:r>
            <w:r>
              <w:rPr>
                <w:rFonts w:ascii="Times New Roman" w:hAnsi="Times New Roman"/>
                <w:sz w:val="24"/>
                <w:vertAlign w:val="subscript"/>
              </w:rPr>
              <w:t>3</w:t>
            </w:r>
            <w:r>
              <w:rPr>
                <w:rFonts w:ascii="Times New Roman" w:hAnsi="Times New Roman"/>
                <w:sz w:val="24"/>
              </w:rPr>
              <w:t>-SCR</w:t>
            </w:r>
            <w:r>
              <w:rPr>
                <w:sz w:val="24"/>
              </w:rPr>
              <w:t>双功能催化体系，很好的平衡氧化性和还原性，保证在高效去除</w:t>
            </w:r>
            <w:r>
              <w:rPr>
                <w:rFonts w:ascii="Times New Roman" w:hAnsi="Times New Roman"/>
                <w:sz w:val="24"/>
              </w:rPr>
              <w:t>NO</w:t>
            </w:r>
            <w:r>
              <w:rPr>
                <w:rFonts w:ascii="Times New Roman" w:hAnsi="Times New Roman"/>
                <w:sz w:val="24"/>
                <w:vertAlign w:val="subscript"/>
              </w:rPr>
              <w:t>x</w:t>
            </w:r>
            <w:r>
              <w:rPr>
                <w:sz w:val="24"/>
              </w:rPr>
              <w:t>和</w:t>
            </w:r>
            <w:r>
              <w:rPr>
                <w:rFonts w:ascii="Times New Roman" w:hAnsi="Times New Roman"/>
                <w:sz w:val="24"/>
              </w:rPr>
              <w:t>VOCs</w:t>
            </w:r>
            <w:r>
              <w:rPr>
                <w:sz w:val="24"/>
              </w:rPr>
              <w:t>的同时，还要一定程度上抑制二氧化硫的氧化。</w:t>
            </w:r>
          </w:p>
          <w:p w:rsidR="00D67BE8" w:rsidRDefault="00EE050D" w:rsidP="00DE7B83">
            <w:pPr>
              <w:spacing w:line="440" w:lineRule="exact"/>
              <w:ind w:firstLineChars="200" w:firstLine="480"/>
              <w:rPr>
                <w:sz w:val="24"/>
              </w:rPr>
            </w:pPr>
            <w:r>
              <w:rPr>
                <w:sz w:val="24"/>
              </w:rPr>
              <w:t>近年来，国内外学者对低温</w:t>
            </w:r>
            <w:r>
              <w:rPr>
                <w:rFonts w:ascii="Times New Roman" w:hAnsi="Times New Roman"/>
                <w:sz w:val="24"/>
              </w:rPr>
              <w:t>NH</w:t>
            </w:r>
            <w:r>
              <w:rPr>
                <w:rFonts w:ascii="Times New Roman" w:hAnsi="Times New Roman"/>
                <w:sz w:val="24"/>
                <w:vertAlign w:val="subscript"/>
              </w:rPr>
              <w:t>3</w:t>
            </w:r>
            <w:r>
              <w:rPr>
                <w:rFonts w:ascii="Times New Roman" w:hAnsi="Times New Roman"/>
                <w:sz w:val="24"/>
              </w:rPr>
              <w:t>-SCR</w:t>
            </w:r>
            <w:r>
              <w:rPr>
                <w:sz w:val="24"/>
              </w:rPr>
              <w:t>催化剂进行了广泛而深入的研究。虽然锰基催化剂具有优异的低温活性，但其抗</w:t>
            </w:r>
            <w:r>
              <w:rPr>
                <w:rFonts w:ascii="Times New Roman" w:hAnsi="Times New Roman"/>
                <w:sz w:val="24"/>
              </w:rPr>
              <w:t>H</w:t>
            </w:r>
            <w:r>
              <w:rPr>
                <w:rFonts w:ascii="Times New Roman" w:hAnsi="Times New Roman"/>
                <w:sz w:val="24"/>
                <w:vertAlign w:val="subscript"/>
              </w:rPr>
              <w:t>2</w:t>
            </w:r>
            <w:r>
              <w:rPr>
                <w:rFonts w:ascii="Times New Roman" w:hAnsi="Times New Roman"/>
                <w:sz w:val="24"/>
              </w:rPr>
              <w:t>O</w:t>
            </w:r>
            <w:r>
              <w:rPr>
                <w:sz w:val="24"/>
              </w:rPr>
              <w:t>和</w:t>
            </w:r>
            <w:r>
              <w:rPr>
                <w:rFonts w:ascii="Times New Roman" w:hAnsi="Times New Roman"/>
                <w:sz w:val="24"/>
              </w:rPr>
              <w:t>SO</w:t>
            </w:r>
            <w:r>
              <w:rPr>
                <w:rFonts w:ascii="Times New Roman" w:hAnsi="Times New Roman"/>
                <w:sz w:val="24"/>
                <w:vertAlign w:val="subscript"/>
              </w:rPr>
              <w:t>2</w:t>
            </w:r>
            <w:r>
              <w:rPr>
                <w:sz w:val="24"/>
              </w:rPr>
              <w:t>中毒性能较差。铈基催化剂因具有优良的氧化还原性、空的</w:t>
            </w:r>
            <w:r>
              <w:rPr>
                <w:rFonts w:ascii="Times New Roman" w:hAnsi="Times New Roman"/>
                <w:sz w:val="24"/>
              </w:rPr>
              <w:t>d</w:t>
            </w:r>
            <w:r>
              <w:rPr>
                <w:sz w:val="24"/>
              </w:rPr>
              <w:t>电子轨道及较高的氧储存</w:t>
            </w:r>
            <w:r>
              <w:rPr>
                <w:sz w:val="24"/>
              </w:rPr>
              <w:t>-</w:t>
            </w:r>
            <w:r>
              <w:rPr>
                <w:sz w:val="24"/>
              </w:rPr>
              <w:t>释放能力而被广泛应用于催化领域</w:t>
            </w:r>
            <w:r>
              <w:rPr>
                <w:rFonts w:ascii="Times New Roman" w:hAnsi="Times New Roman"/>
                <w:sz w:val="24"/>
                <w:vertAlign w:val="superscript"/>
              </w:rPr>
              <w:t>[12-13]</w:t>
            </w:r>
            <w:r>
              <w:rPr>
                <w:sz w:val="24"/>
              </w:rPr>
              <w:t>。与锰基催化剂相比，铈基催化剂抗</w:t>
            </w:r>
            <w:r>
              <w:rPr>
                <w:rFonts w:ascii="Times New Roman" w:hAnsi="Times New Roman"/>
                <w:sz w:val="24"/>
              </w:rPr>
              <w:t>SO</w:t>
            </w:r>
            <w:r>
              <w:rPr>
                <w:rFonts w:ascii="Times New Roman" w:hAnsi="Times New Roman"/>
                <w:sz w:val="24"/>
                <w:vertAlign w:val="subscript"/>
              </w:rPr>
              <w:t>2</w:t>
            </w:r>
            <w:r>
              <w:rPr>
                <w:sz w:val="24"/>
              </w:rPr>
              <w:t>和</w:t>
            </w:r>
            <w:r>
              <w:rPr>
                <w:rFonts w:ascii="Times New Roman" w:hAnsi="Times New Roman"/>
                <w:sz w:val="24"/>
              </w:rPr>
              <w:t>H</w:t>
            </w:r>
            <w:r>
              <w:rPr>
                <w:rFonts w:ascii="Times New Roman" w:hAnsi="Times New Roman"/>
                <w:sz w:val="24"/>
                <w:vertAlign w:val="subscript"/>
              </w:rPr>
              <w:t>2</w:t>
            </w:r>
            <w:r>
              <w:rPr>
                <w:rFonts w:ascii="Times New Roman" w:hAnsi="Times New Roman"/>
                <w:sz w:val="24"/>
              </w:rPr>
              <w:t>O</w:t>
            </w:r>
            <w:r>
              <w:rPr>
                <w:sz w:val="24"/>
              </w:rPr>
              <w:t>中毒能力良好。目前利用铈基催化剂低温脱硝或催化氧化</w:t>
            </w:r>
            <w:r>
              <w:rPr>
                <w:rFonts w:ascii="Times New Roman" w:hAnsi="Times New Roman"/>
                <w:sz w:val="24"/>
              </w:rPr>
              <w:t>VOCs</w:t>
            </w:r>
            <w:r>
              <w:rPr>
                <w:sz w:val="24"/>
              </w:rPr>
              <w:t>的研究方兴未艾。一方面，将氧化铈作为</w:t>
            </w:r>
            <w:r>
              <w:rPr>
                <w:rFonts w:ascii="Times New Roman" w:hAnsi="Times New Roman"/>
                <w:sz w:val="24"/>
              </w:rPr>
              <w:t>NH</w:t>
            </w:r>
            <w:r>
              <w:rPr>
                <w:rFonts w:ascii="Times New Roman" w:hAnsi="Times New Roman"/>
                <w:sz w:val="24"/>
                <w:vertAlign w:val="subscript"/>
              </w:rPr>
              <w:t>3</w:t>
            </w:r>
            <w:r>
              <w:rPr>
                <w:rFonts w:ascii="Times New Roman" w:hAnsi="Times New Roman"/>
                <w:sz w:val="24"/>
              </w:rPr>
              <w:t>-SCR</w:t>
            </w:r>
            <w:r>
              <w:rPr>
                <w:sz w:val="24"/>
              </w:rPr>
              <w:t>催化剂的主要助剂或主活性成分，能获得较好的低温脱硝活性和抗水抗硫性能。例如，何丽芳等</w:t>
            </w:r>
            <w:r>
              <w:rPr>
                <w:rFonts w:ascii="Times New Roman" w:hAnsi="Times New Roman"/>
                <w:sz w:val="24"/>
                <w:vertAlign w:val="superscript"/>
              </w:rPr>
              <w:t>[14]</w:t>
            </w:r>
            <w:r>
              <w:rPr>
                <w:sz w:val="24"/>
              </w:rPr>
              <w:t>采用水热合成</w:t>
            </w:r>
            <w:r>
              <w:rPr>
                <w:rFonts w:ascii="Times New Roman" w:hAnsi="Times New Roman"/>
                <w:sz w:val="24"/>
              </w:rPr>
              <w:t>CeO</w:t>
            </w:r>
            <w:r>
              <w:rPr>
                <w:rFonts w:ascii="Times New Roman" w:hAnsi="Times New Roman"/>
                <w:sz w:val="24"/>
                <w:vertAlign w:val="subscript"/>
              </w:rPr>
              <w:t>2</w:t>
            </w:r>
            <w:r>
              <w:rPr>
                <w:sz w:val="24"/>
              </w:rPr>
              <w:t>纳米棒，拥有更多的氧空位和高活性氧物种，能在贫氧和低温条件下诱导甲苯的完全氧化和产物脱附，使甲苯得以快速降解。但是，单一组分</w:t>
            </w:r>
            <w:r>
              <w:rPr>
                <w:rFonts w:ascii="Times New Roman" w:hAnsi="Times New Roman"/>
                <w:sz w:val="24"/>
              </w:rPr>
              <w:t>CeO</w:t>
            </w:r>
            <w:r>
              <w:rPr>
                <w:rFonts w:ascii="Times New Roman" w:hAnsi="Times New Roman"/>
                <w:sz w:val="24"/>
                <w:vertAlign w:val="subscript"/>
              </w:rPr>
              <w:t>2</w:t>
            </w:r>
            <w:r>
              <w:rPr>
                <w:sz w:val="24"/>
              </w:rPr>
              <w:t>催化剂面临的最大问题是催化活性差、比表面积小、低温条件下不易被还原，难以满足低温脱硝协同控制</w:t>
            </w:r>
            <w:r>
              <w:rPr>
                <w:rFonts w:ascii="Times New Roman" w:hAnsi="Times New Roman"/>
                <w:sz w:val="24"/>
              </w:rPr>
              <w:t>VOCs</w:t>
            </w:r>
            <w:r>
              <w:rPr>
                <w:sz w:val="24"/>
              </w:rPr>
              <w:t>的需求。催化剂表面化学性质性和特殊的物理结构是决定催化剂催化性能的关键性因素。因此，我们提出对铈基催化剂的结构进行合理的调控，以此来提高其热稳定性、增大比表面积，促进氧化还原性能，提高氧空位等，进而提高催化剂低温脱硝协同去除</w:t>
            </w:r>
            <w:r>
              <w:rPr>
                <w:rFonts w:ascii="Times New Roman" w:hAnsi="Times New Roman"/>
                <w:sz w:val="24"/>
              </w:rPr>
              <w:t>VOCs</w:t>
            </w:r>
            <w:r>
              <w:rPr>
                <w:sz w:val="24"/>
              </w:rPr>
              <w:t>性能的研究思路。</w:t>
            </w:r>
          </w:p>
          <w:p w:rsidR="00D67BE8" w:rsidRDefault="00EE050D" w:rsidP="00DE7B83">
            <w:pPr>
              <w:spacing w:line="440" w:lineRule="exact"/>
              <w:ind w:firstLineChars="200" w:firstLine="480"/>
              <w:rPr>
                <w:sz w:val="24"/>
              </w:rPr>
            </w:pPr>
            <w:r>
              <w:rPr>
                <w:sz w:val="24"/>
              </w:rPr>
              <w:lastRenderedPageBreak/>
              <w:t>铈基催化剂的性能与晶格中氧空位浓度密切相关，而氧空位的浓度依赖于铈基催化剂的颗粒大小、形貌结构、晶格缺陷等</w:t>
            </w:r>
            <w:r>
              <w:rPr>
                <w:rFonts w:ascii="Times New Roman" w:hAnsi="Times New Roman"/>
                <w:sz w:val="24"/>
                <w:vertAlign w:val="superscript"/>
              </w:rPr>
              <w:t>[15]</w:t>
            </w:r>
            <w:r>
              <w:rPr>
                <w:sz w:val="24"/>
              </w:rPr>
              <w:t>。这主要是因为铈基催化剂的颗粒大小和形貌结构可影响其比表面积，高的比表面积将提供更多的吸附中心和氧空位。例如，</w:t>
            </w:r>
            <w:r>
              <w:rPr>
                <w:rFonts w:ascii="Times New Roman" w:hAnsi="Times New Roman"/>
                <w:sz w:val="24"/>
              </w:rPr>
              <w:t>Li</w:t>
            </w:r>
            <w:r>
              <w:rPr>
                <w:sz w:val="24"/>
              </w:rPr>
              <w:t>等</w:t>
            </w:r>
            <w:r>
              <w:rPr>
                <w:rFonts w:ascii="Times New Roman" w:hAnsi="Times New Roman"/>
                <w:sz w:val="24"/>
                <w:vertAlign w:val="superscript"/>
              </w:rPr>
              <w:t>[16]</w:t>
            </w:r>
            <w:r>
              <w:rPr>
                <w:sz w:val="24"/>
              </w:rPr>
              <w:t>考察了不同比表面积的铈基催化剂催化氧化甲醛的性能，发现高比表面积的铈基催化剂提供了更多的甲醛吸附中心和氧空位，加快了甲醛活化过程。另外，形貌结构的改变会导致暴露晶面取向不同，不同晶面上的电子跃迁能和氧空位形成能不同，从而影响材料性能。因此，通过合理的调控铈基催化剂的形貌，尽可能暴露高活性晶面，使得氧空位构造能更低，更容易产生氧空位，为催化反应提供了更多的活性氧物种，从而可显著的提高催化剂的催化活性。此外，复合氧化物的形成会引起不同金属物种之间的相互作用或存在状态的变化，如金属氧化物的表面几何和电子结构，进而调控催化剂的反应性能。但是，目前有关基于结构调控的铈基催化剂低温脱硝协同控制</w:t>
            </w:r>
            <w:r>
              <w:rPr>
                <w:rFonts w:ascii="Times New Roman" w:hAnsi="Times New Roman"/>
                <w:sz w:val="24"/>
              </w:rPr>
              <w:t>VOCs</w:t>
            </w:r>
            <w:r>
              <w:rPr>
                <w:sz w:val="24"/>
              </w:rPr>
              <w:t>的研究却鲜有道。研究人员发现</w:t>
            </w:r>
            <w:proofErr w:type="spellStart"/>
            <w:r>
              <w:rPr>
                <w:rFonts w:ascii="Times New Roman" w:hAnsi="Times New Roman"/>
                <w:sz w:val="24"/>
              </w:rPr>
              <w:t>CuO</w:t>
            </w:r>
            <w:proofErr w:type="spellEnd"/>
            <w:r>
              <w:rPr>
                <w:rFonts w:ascii="Times New Roman" w:hAnsi="Times New Roman"/>
                <w:sz w:val="24"/>
              </w:rPr>
              <w:t>/CeO</w:t>
            </w:r>
            <w:r>
              <w:rPr>
                <w:rFonts w:ascii="Times New Roman" w:hAnsi="Times New Roman"/>
                <w:sz w:val="24"/>
                <w:vertAlign w:val="subscript"/>
              </w:rPr>
              <w:t>2</w:t>
            </w:r>
            <w:r>
              <w:rPr>
                <w:sz w:val="24"/>
              </w:rPr>
              <w:t>催化剂表现出较强的低温还原能力和较高的</w:t>
            </w:r>
            <w:r>
              <w:rPr>
                <w:rFonts w:ascii="Times New Roman" w:hAnsi="Times New Roman"/>
                <w:sz w:val="24"/>
              </w:rPr>
              <w:t>NO</w:t>
            </w:r>
            <w:r>
              <w:rPr>
                <w:sz w:val="24"/>
              </w:rPr>
              <w:t>还原活性。</w:t>
            </w:r>
            <w:r>
              <w:rPr>
                <w:rFonts w:ascii="Times New Roman" w:hAnsi="Times New Roman"/>
                <w:sz w:val="24"/>
              </w:rPr>
              <w:t>NO</w:t>
            </w:r>
            <w:r>
              <w:rPr>
                <w:sz w:val="24"/>
              </w:rPr>
              <w:t>吸附</w:t>
            </w:r>
            <w:r>
              <w:rPr>
                <w:sz w:val="24"/>
              </w:rPr>
              <w:t>/</w:t>
            </w:r>
            <w:r>
              <w:rPr>
                <w:sz w:val="24"/>
              </w:rPr>
              <w:t>脱附的原位红外结果表明，相对于</w:t>
            </w:r>
            <w:proofErr w:type="spellStart"/>
            <w:r>
              <w:rPr>
                <w:rFonts w:ascii="Times New Roman" w:hAnsi="Times New Roman"/>
                <w:sz w:val="24"/>
              </w:rPr>
              <w:t>CuO</w:t>
            </w:r>
            <w:proofErr w:type="spellEnd"/>
            <w:r>
              <w:rPr>
                <w:rFonts w:ascii="Times New Roman" w:hAnsi="Times New Roman"/>
                <w:sz w:val="24"/>
              </w:rPr>
              <w:t>/γ-Al</w:t>
            </w:r>
            <w:r>
              <w:rPr>
                <w:rFonts w:ascii="Times New Roman" w:hAnsi="Times New Roman"/>
                <w:sz w:val="24"/>
                <w:vertAlign w:val="subscript"/>
              </w:rPr>
              <w:t>2</w:t>
            </w:r>
            <w:r>
              <w:rPr>
                <w:rFonts w:ascii="Times New Roman" w:hAnsi="Times New Roman"/>
                <w:sz w:val="24"/>
              </w:rPr>
              <w:t>O</w:t>
            </w:r>
            <w:r>
              <w:rPr>
                <w:rFonts w:ascii="Times New Roman" w:hAnsi="Times New Roman"/>
                <w:sz w:val="24"/>
                <w:vertAlign w:val="subscript"/>
              </w:rPr>
              <w:t>3</w:t>
            </w:r>
            <w:r>
              <w:rPr>
                <w:sz w:val="24"/>
              </w:rPr>
              <w:t>，</w:t>
            </w:r>
            <w:proofErr w:type="spellStart"/>
            <w:r>
              <w:rPr>
                <w:rFonts w:ascii="Times New Roman" w:hAnsi="Times New Roman"/>
                <w:sz w:val="24"/>
              </w:rPr>
              <w:t>CuO</w:t>
            </w:r>
            <w:proofErr w:type="spellEnd"/>
            <w:r>
              <w:rPr>
                <w:rFonts w:ascii="Times New Roman" w:hAnsi="Times New Roman"/>
                <w:sz w:val="24"/>
              </w:rPr>
              <w:t>/t-ZrO</w:t>
            </w:r>
            <w:r>
              <w:rPr>
                <w:rFonts w:ascii="Times New Roman" w:hAnsi="Times New Roman"/>
                <w:sz w:val="24"/>
                <w:vertAlign w:val="subscript"/>
              </w:rPr>
              <w:t>2</w:t>
            </w:r>
            <w:r>
              <w:rPr>
                <w:sz w:val="24"/>
              </w:rPr>
              <w:t>催化剂表面的</w:t>
            </w:r>
            <w:r>
              <w:rPr>
                <w:rFonts w:ascii="Times New Roman" w:hAnsi="Times New Roman"/>
                <w:sz w:val="24"/>
              </w:rPr>
              <w:t>NO</w:t>
            </w:r>
            <w:r>
              <w:rPr>
                <w:sz w:val="24"/>
              </w:rPr>
              <w:t>吸附物种，吸附在含铈相催化剂表面的单齿硝酸盐和桥式硝酸盐比较活泼，很容易发生脱硝或转换。铜基催化剂具有以下明显特点：首先铜有多种形式存在，可以影响催化剂酸性、氧化还原性和对反应物的吸脱附能力；其次，铜分散度高，氧化还原性能好，在脱硝反应中具有较好的催化活性且反应温度要求低。基于此，本项目拟通过掺杂金属铜离子和控制晶体形貌等手段对铈基催化剂的结构进行调控，很好的平衡催化剂的氧化性和还原性，使催化剂同时具备催化还原</w:t>
            </w:r>
            <w:r>
              <w:rPr>
                <w:rFonts w:ascii="Times New Roman" w:hAnsi="Times New Roman"/>
                <w:sz w:val="24"/>
              </w:rPr>
              <w:t>NO</w:t>
            </w:r>
            <w:r>
              <w:rPr>
                <w:sz w:val="24"/>
              </w:rPr>
              <w:t>和催化氧化</w:t>
            </w:r>
            <w:r>
              <w:rPr>
                <w:rFonts w:ascii="Times New Roman" w:hAnsi="Times New Roman"/>
                <w:sz w:val="24"/>
              </w:rPr>
              <w:t>VOCs</w:t>
            </w:r>
            <w:r>
              <w:rPr>
                <w:sz w:val="24"/>
              </w:rPr>
              <w:t>的反应功效，实现工业烟气</w:t>
            </w:r>
            <w:r>
              <w:rPr>
                <w:rFonts w:ascii="Times New Roman" w:hAnsi="Times New Roman"/>
                <w:sz w:val="24"/>
              </w:rPr>
              <w:t>NO</w:t>
            </w:r>
            <w:r>
              <w:rPr>
                <w:rFonts w:ascii="Times New Roman" w:hAnsi="Times New Roman"/>
                <w:sz w:val="24"/>
                <w:vertAlign w:val="subscript"/>
              </w:rPr>
              <w:t>x</w:t>
            </w:r>
            <w:r>
              <w:rPr>
                <w:sz w:val="24"/>
              </w:rPr>
              <w:t>和</w:t>
            </w:r>
            <w:r>
              <w:rPr>
                <w:rFonts w:ascii="Times New Roman" w:hAnsi="Times New Roman"/>
                <w:sz w:val="24"/>
              </w:rPr>
              <w:t>VOCs</w:t>
            </w:r>
            <w:r>
              <w:rPr>
                <w:sz w:val="24"/>
              </w:rPr>
              <w:t>的高效协同控制。</w:t>
            </w:r>
          </w:p>
          <w:p w:rsidR="00DE7B83" w:rsidRDefault="00DE7B83" w:rsidP="00DE7B83">
            <w:pPr>
              <w:spacing w:line="440" w:lineRule="exact"/>
              <w:ind w:firstLineChars="200" w:firstLine="480"/>
              <w:rPr>
                <w:sz w:val="24"/>
              </w:rPr>
            </w:pPr>
          </w:p>
          <w:p w:rsidR="00D67BE8" w:rsidRPr="00DE7B83" w:rsidRDefault="00EE050D">
            <w:pPr>
              <w:spacing w:line="360" w:lineRule="auto"/>
              <w:rPr>
                <w:b/>
                <w:sz w:val="24"/>
              </w:rPr>
            </w:pPr>
            <w:r w:rsidRPr="00DE7B83">
              <w:rPr>
                <w:b/>
                <w:sz w:val="24"/>
              </w:rPr>
              <w:t>主要参考文献</w:t>
            </w:r>
          </w:p>
          <w:p w:rsidR="00D67BE8" w:rsidRDefault="00EE050D" w:rsidP="00DE7B83">
            <w:pPr>
              <w:spacing w:beforeLines="30" w:before="93" w:line="380" w:lineRule="exact"/>
              <w:ind w:left="480" w:hangingChars="200" w:hanging="480"/>
              <w:rPr>
                <w:rFonts w:ascii="Times New Roman" w:eastAsia="仿宋" w:hAnsi="Times New Roman"/>
                <w:sz w:val="24"/>
              </w:rPr>
            </w:pPr>
            <w:bookmarkStart w:id="7" w:name="_ENREF_1"/>
            <w:r>
              <w:rPr>
                <w:rFonts w:ascii="Times New Roman" w:eastAsia="仿宋" w:hAnsi="Times New Roman"/>
                <w:sz w:val="24"/>
              </w:rPr>
              <w:t xml:space="preserve">[1] Liu, Z.; Liu, Y.; Li, Y.; </w:t>
            </w:r>
            <w:proofErr w:type="spellStart"/>
            <w:r>
              <w:rPr>
                <w:rFonts w:ascii="Times New Roman" w:eastAsia="仿宋" w:hAnsi="Times New Roman"/>
                <w:sz w:val="24"/>
              </w:rPr>
              <w:t>Su</w:t>
            </w:r>
            <w:proofErr w:type="spellEnd"/>
            <w:r>
              <w:rPr>
                <w:rFonts w:ascii="Times New Roman" w:eastAsia="仿宋" w:hAnsi="Times New Roman"/>
                <w:sz w:val="24"/>
              </w:rPr>
              <w:t>, H.; Ma, L., WO</w:t>
            </w:r>
            <w:r>
              <w:rPr>
                <w:rFonts w:ascii="Times New Roman" w:eastAsia="仿宋" w:hAnsi="Times New Roman"/>
                <w:sz w:val="24"/>
                <w:vertAlign w:val="subscript"/>
              </w:rPr>
              <w:t>3</w:t>
            </w:r>
            <w:r>
              <w:rPr>
                <w:rFonts w:ascii="Times New Roman" w:eastAsia="仿宋" w:hAnsi="Times New Roman"/>
                <w:sz w:val="24"/>
              </w:rPr>
              <w:t xml:space="preserve"> promoted Mn–</w:t>
            </w:r>
            <w:proofErr w:type="spellStart"/>
            <w:r>
              <w:rPr>
                <w:rFonts w:ascii="Times New Roman" w:eastAsia="仿宋" w:hAnsi="Times New Roman"/>
                <w:sz w:val="24"/>
              </w:rPr>
              <w:t>Zr</w:t>
            </w:r>
            <w:proofErr w:type="spellEnd"/>
            <w:r>
              <w:rPr>
                <w:rFonts w:ascii="Times New Roman" w:eastAsia="仿宋" w:hAnsi="Times New Roman"/>
                <w:sz w:val="24"/>
              </w:rPr>
              <w:t xml:space="preserve"> mixed oxide catalyst for the selective catalytic reduction of NO</w:t>
            </w:r>
            <w:r>
              <w:rPr>
                <w:rFonts w:ascii="Times New Roman" w:eastAsia="仿宋" w:hAnsi="Times New Roman"/>
                <w:sz w:val="24"/>
                <w:vertAlign w:val="subscript"/>
              </w:rPr>
              <w:t>x</w:t>
            </w:r>
            <w:r>
              <w:rPr>
                <w:rFonts w:ascii="Times New Roman" w:eastAsia="仿宋" w:hAnsi="Times New Roman"/>
                <w:sz w:val="24"/>
              </w:rPr>
              <w:t xml:space="preserve"> with NH</w:t>
            </w:r>
            <w:r>
              <w:rPr>
                <w:rFonts w:ascii="Times New Roman" w:eastAsia="仿宋" w:hAnsi="Times New Roman"/>
                <w:sz w:val="24"/>
                <w:vertAlign w:val="subscript"/>
              </w:rPr>
              <w:t>3</w:t>
            </w:r>
            <w:r>
              <w:rPr>
                <w:rFonts w:ascii="Times New Roman" w:eastAsia="仿宋" w:hAnsi="Times New Roman"/>
                <w:sz w:val="24"/>
              </w:rPr>
              <w:t>, Chemical Engineering Journal, 283, 1044-1050, 2016.</w:t>
            </w:r>
            <w:bookmarkEnd w:id="7"/>
          </w:p>
          <w:p w:rsidR="00D67BE8" w:rsidRDefault="00EE050D" w:rsidP="00DE7B83">
            <w:pPr>
              <w:spacing w:beforeLines="30" w:before="93" w:line="380" w:lineRule="exact"/>
              <w:ind w:left="480" w:hangingChars="200" w:hanging="480"/>
              <w:rPr>
                <w:rFonts w:ascii="Times New Roman" w:eastAsia="仿宋" w:hAnsi="Times New Roman"/>
                <w:sz w:val="24"/>
              </w:rPr>
            </w:pPr>
            <w:bookmarkStart w:id="8" w:name="_ENREF_2"/>
            <w:r>
              <w:rPr>
                <w:rFonts w:ascii="Times New Roman" w:eastAsia="仿宋" w:hAnsi="Times New Roman"/>
                <w:sz w:val="24"/>
              </w:rPr>
              <w:t>[2] Liu, Z.; Li, J.; Hao, J., Selective catalytic reduction of NO</w:t>
            </w:r>
            <w:r>
              <w:rPr>
                <w:rFonts w:ascii="Times New Roman" w:eastAsia="仿宋" w:hAnsi="Times New Roman"/>
                <w:sz w:val="24"/>
                <w:vertAlign w:val="subscript"/>
              </w:rPr>
              <w:t>x</w:t>
            </w:r>
            <w:r>
              <w:rPr>
                <w:rFonts w:ascii="Times New Roman" w:eastAsia="仿宋" w:hAnsi="Times New Roman"/>
                <w:sz w:val="24"/>
              </w:rPr>
              <w:t xml:space="preserve"> with propene over SnO</w:t>
            </w:r>
            <w:r>
              <w:rPr>
                <w:rFonts w:ascii="Times New Roman" w:eastAsia="仿宋" w:hAnsi="Times New Roman"/>
                <w:sz w:val="24"/>
                <w:vertAlign w:val="subscript"/>
              </w:rPr>
              <w:t>2</w:t>
            </w:r>
            <w:r>
              <w:rPr>
                <w:rFonts w:ascii="Times New Roman" w:eastAsia="仿宋" w:hAnsi="Times New Roman"/>
                <w:sz w:val="24"/>
              </w:rPr>
              <w:t>/Al</w:t>
            </w:r>
            <w:r>
              <w:rPr>
                <w:rFonts w:ascii="Times New Roman" w:eastAsia="仿宋" w:hAnsi="Times New Roman"/>
                <w:sz w:val="24"/>
                <w:vertAlign w:val="subscript"/>
              </w:rPr>
              <w:t>2</w:t>
            </w:r>
            <w:r>
              <w:rPr>
                <w:rFonts w:ascii="Times New Roman" w:eastAsia="仿宋" w:hAnsi="Times New Roman"/>
                <w:sz w:val="24"/>
              </w:rPr>
              <w:t>O</w:t>
            </w:r>
            <w:r>
              <w:rPr>
                <w:rFonts w:ascii="Times New Roman" w:eastAsia="仿宋" w:hAnsi="Times New Roman"/>
                <w:sz w:val="24"/>
                <w:vertAlign w:val="subscript"/>
              </w:rPr>
              <w:t>3</w:t>
            </w:r>
            <w:r>
              <w:rPr>
                <w:rFonts w:ascii="Times New Roman" w:eastAsia="仿宋" w:hAnsi="Times New Roman"/>
                <w:sz w:val="24"/>
              </w:rPr>
              <w:t xml:space="preserve"> catalyst, Chemical Engineering Journal, 165 (2), 420-425, 2010.</w:t>
            </w:r>
            <w:bookmarkEnd w:id="8"/>
          </w:p>
          <w:p w:rsidR="00D67BE8" w:rsidRDefault="00EE050D" w:rsidP="00DE7B83">
            <w:pPr>
              <w:spacing w:beforeLines="30" w:before="93" w:line="380" w:lineRule="exact"/>
              <w:ind w:left="480" w:hangingChars="200" w:hanging="480"/>
              <w:rPr>
                <w:rFonts w:ascii="Times New Roman" w:eastAsia="仿宋" w:hAnsi="Times New Roman"/>
                <w:sz w:val="24"/>
              </w:rPr>
            </w:pPr>
            <w:bookmarkStart w:id="9" w:name="_ENREF_3"/>
            <w:r>
              <w:rPr>
                <w:rFonts w:ascii="Times New Roman" w:eastAsia="仿宋" w:hAnsi="Times New Roman"/>
                <w:sz w:val="24"/>
              </w:rPr>
              <w:t>[3] Liu, L.; Song, Y.; Fu, Z.; Ye, Q.; Cheng, S.; Kang, T.; Dai, H., Effect of preparation method on the surface characteristics and activity of the Pd/OMS-2 catalysts for the oxidation of carbon monoxide, toluene, and ethyl acetate, Applied Surface Science, 396, 599-608, 2017.</w:t>
            </w:r>
            <w:bookmarkEnd w:id="9"/>
          </w:p>
          <w:p w:rsidR="00D67BE8" w:rsidRDefault="00EE050D" w:rsidP="00DE7B83">
            <w:pPr>
              <w:spacing w:beforeLines="30" w:before="93" w:line="380" w:lineRule="exact"/>
              <w:ind w:left="480" w:hangingChars="200" w:hanging="480"/>
              <w:rPr>
                <w:rFonts w:ascii="Times New Roman" w:eastAsia="仿宋" w:hAnsi="Times New Roman"/>
                <w:sz w:val="24"/>
              </w:rPr>
            </w:pPr>
            <w:bookmarkStart w:id="10" w:name="_ENREF_4"/>
            <w:r>
              <w:rPr>
                <w:rFonts w:ascii="Times New Roman" w:eastAsia="仿宋" w:hAnsi="Times New Roman"/>
                <w:sz w:val="24"/>
              </w:rPr>
              <w:lastRenderedPageBreak/>
              <w:t>[4] Zhang, Q.; Mo, S.; Chen, B.; Zhang, W.; Huang, C.; Ye, D., Hierarchical Co</w:t>
            </w:r>
            <w:r>
              <w:rPr>
                <w:rFonts w:ascii="Times New Roman" w:eastAsia="仿宋" w:hAnsi="Times New Roman"/>
                <w:sz w:val="24"/>
                <w:vertAlign w:val="subscript"/>
              </w:rPr>
              <w:t>3</w:t>
            </w:r>
            <w:r>
              <w:rPr>
                <w:rFonts w:ascii="Times New Roman" w:eastAsia="仿宋" w:hAnsi="Times New Roman"/>
                <w:sz w:val="24"/>
              </w:rPr>
              <w:t>O</w:t>
            </w:r>
            <w:r>
              <w:rPr>
                <w:rFonts w:ascii="Times New Roman" w:eastAsia="仿宋" w:hAnsi="Times New Roman"/>
                <w:sz w:val="24"/>
                <w:vertAlign w:val="subscript"/>
              </w:rPr>
              <w:t>4</w:t>
            </w:r>
            <w:r>
              <w:rPr>
                <w:rFonts w:ascii="Times New Roman" w:eastAsia="仿宋" w:hAnsi="Times New Roman"/>
                <w:sz w:val="24"/>
              </w:rPr>
              <w:t xml:space="preserve"> nanostructures in-situ grown on 3D nickel foam towards toluene oxidation, Molecular Catalysis, 454, 12-20, 2018.</w:t>
            </w:r>
            <w:bookmarkEnd w:id="10"/>
          </w:p>
          <w:p w:rsidR="00D67BE8" w:rsidRDefault="00EE050D" w:rsidP="00DE7B83">
            <w:pPr>
              <w:spacing w:beforeLines="30" w:before="93" w:line="380" w:lineRule="exact"/>
              <w:ind w:left="480" w:hangingChars="200" w:hanging="480"/>
              <w:rPr>
                <w:rFonts w:ascii="Times New Roman" w:eastAsia="仿宋" w:hAnsi="Times New Roman"/>
                <w:sz w:val="24"/>
              </w:rPr>
            </w:pPr>
            <w:r>
              <w:rPr>
                <w:rFonts w:ascii="Times New Roman" w:eastAsia="仿宋" w:hAnsi="Times New Roman"/>
                <w:sz w:val="24"/>
              </w:rPr>
              <w:t xml:space="preserve">[5] </w:t>
            </w:r>
            <w:r>
              <w:rPr>
                <w:rFonts w:ascii="Times New Roman" w:hAnsi="Times New Roman"/>
                <w:sz w:val="24"/>
              </w:rPr>
              <w:t>环保部、统计局</w:t>
            </w:r>
            <w:r>
              <w:rPr>
                <w:rFonts w:ascii="Times New Roman" w:hAnsi="Times New Roman"/>
                <w:sz w:val="24"/>
              </w:rPr>
              <w:t xml:space="preserve">, </w:t>
            </w:r>
            <w:r>
              <w:rPr>
                <w:rFonts w:ascii="Times New Roman" w:hAnsi="Times New Roman"/>
                <w:sz w:val="24"/>
              </w:rPr>
              <w:t>中国环境统计年鉴</w:t>
            </w:r>
            <w:r>
              <w:rPr>
                <w:rFonts w:ascii="Times New Roman" w:hAnsi="Times New Roman"/>
                <w:sz w:val="24"/>
              </w:rPr>
              <w:t>, 43-56, 2016.</w:t>
            </w:r>
            <w:bookmarkStart w:id="11" w:name="_ENREF_9"/>
            <w:r>
              <w:rPr>
                <w:rFonts w:ascii="Times New Roman" w:hAnsi="Times New Roman"/>
                <w:sz w:val="24"/>
              </w:rPr>
              <w:t xml:space="preserve">  </w:t>
            </w:r>
            <w:r>
              <w:rPr>
                <w:rFonts w:ascii="Times New Roman" w:eastAsia="仿宋" w:hAnsi="Times New Roman"/>
                <w:sz w:val="24"/>
              </w:rPr>
              <w:t xml:space="preserve">                     </w:t>
            </w:r>
          </w:p>
          <w:p w:rsidR="00D67BE8" w:rsidRDefault="00EE050D" w:rsidP="00DE7B83">
            <w:pPr>
              <w:spacing w:beforeLines="30" w:before="93" w:line="380" w:lineRule="exact"/>
              <w:ind w:left="480" w:hangingChars="200" w:hanging="480"/>
              <w:rPr>
                <w:rFonts w:ascii="Times New Roman" w:eastAsia="仿宋" w:hAnsi="Times New Roman"/>
                <w:sz w:val="24"/>
              </w:rPr>
            </w:pPr>
            <w:r>
              <w:rPr>
                <w:rFonts w:ascii="Times New Roman" w:eastAsia="仿宋" w:hAnsi="Times New Roman"/>
                <w:sz w:val="24"/>
              </w:rPr>
              <w:t xml:space="preserve">[6] Bai, B.; </w:t>
            </w:r>
            <w:proofErr w:type="spellStart"/>
            <w:r>
              <w:rPr>
                <w:rFonts w:ascii="Times New Roman" w:eastAsia="仿宋" w:hAnsi="Times New Roman"/>
                <w:sz w:val="24"/>
              </w:rPr>
              <w:t>Arandiyan</w:t>
            </w:r>
            <w:proofErr w:type="spellEnd"/>
            <w:r>
              <w:rPr>
                <w:rFonts w:ascii="Times New Roman" w:eastAsia="仿宋" w:hAnsi="Times New Roman"/>
                <w:sz w:val="24"/>
              </w:rPr>
              <w:t>, H.; Li, J., Comparison of the performance for oxidation of formaldehyde on nano-Co</w:t>
            </w:r>
            <w:r>
              <w:rPr>
                <w:rFonts w:ascii="Times New Roman" w:eastAsia="仿宋" w:hAnsi="Times New Roman"/>
                <w:sz w:val="24"/>
                <w:vertAlign w:val="subscript"/>
              </w:rPr>
              <w:t>3</w:t>
            </w:r>
            <w:r>
              <w:rPr>
                <w:rFonts w:ascii="Times New Roman" w:eastAsia="仿宋" w:hAnsi="Times New Roman"/>
                <w:sz w:val="24"/>
              </w:rPr>
              <w:t>O</w:t>
            </w:r>
            <w:r>
              <w:rPr>
                <w:rFonts w:ascii="Times New Roman" w:eastAsia="仿宋" w:hAnsi="Times New Roman"/>
                <w:sz w:val="24"/>
                <w:vertAlign w:val="subscript"/>
              </w:rPr>
              <w:t>4</w:t>
            </w:r>
            <w:r>
              <w:rPr>
                <w:rFonts w:ascii="Times New Roman" w:eastAsia="仿宋" w:hAnsi="Times New Roman"/>
                <w:sz w:val="24"/>
              </w:rPr>
              <w:t>, 2D-Co</w:t>
            </w:r>
            <w:r>
              <w:rPr>
                <w:rFonts w:ascii="Times New Roman" w:eastAsia="仿宋" w:hAnsi="Times New Roman"/>
                <w:sz w:val="24"/>
                <w:vertAlign w:val="subscript"/>
              </w:rPr>
              <w:t>3</w:t>
            </w:r>
            <w:r>
              <w:rPr>
                <w:rFonts w:ascii="Times New Roman" w:eastAsia="仿宋" w:hAnsi="Times New Roman"/>
                <w:sz w:val="24"/>
              </w:rPr>
              <w:t>O</w:t>
            </w:r>
            <w:r>
              <w:rPr>
                <w:rFonts w:ascii="Times New Roman" w:eastAsia="仿宋" w:hAnsi="Times New Roman"/>
                <w:sz w:val="24"/>
                <w:vertAlign w:val="subscript"/>
              </w:rPr>
              <w:t>4</w:t>
            </w:r>
            <w:r>
              <w:rPr>
                <w:rFonts w:ascii="Times New Roman" w:eastAsia="仿宋" w:hAnsi="Times New Roman"/>
                <w:sz w:val="24"/>
              </w:rPr>
              <w:t>, and 3D-Co</w:t>
            </w:r>
            <w:r>
              <w:rPr>
                <w:rFonts w:ascii="Times New Roman" w:eastAsia="仿宋" w:hAnsi="Times New Roman"/>
                <w:sz w:val="24"/>
                <w:vertAlign w:val="subscript"/>
              </w:rPr>
              <w:t>3</w:t>
            </w:r>
            <w:r>
              <w:rPr>
                <w:rFonts w:ascii="Times New Roman" w:eastAsia="仿宋" w:hAnsi="Times New Roman"/>
                <w:sz w:val="24"/>
              </w:rPr>
              <w:t>O</w:t>
            </w:r>
            <w:r>
              <w:rPr>
                <w:rFonts w:ascii="Times New Roman" w:eastAsia="仿宋" w:hAnsi="Times New Roman"/>
                <w:sz w:val="24"/>
                <w:vertAlign w:val="subscript"/>
              </w:rPr>
              <w:t>4</w:t>
            </w:r>
            <w:r>
              <w:rPr>
                <w:rFonts w:ascii="Times New Roman" w:eastAsia="仿宋" w:hAnsi="Times New Roman"/>
                <w:sz w:val="24"/>
              </w:rPr>
              <w:t xml:space="preserve"> catalysts, Applied Catalysis B: Environmental, 142-143, 677-683, 2013.</w:t>
            </w:r>
            <w:bookmarkEnd w:id="11"/>
          </w:p>
          <w:p w:rsidR="00D67BE8" w:rsidRDefault="00EE050D" w:rsidP="00DE7B83">
            <w:pPr>
              <w:spacing w:beforeLines="30" w:before="93" w:line="380" w:lineRule="exact"/>
              <w:ind w:left="480" w:hangingChars="200" w:hanging="480"/>
              <w:rPr>
                <w:rFonts w:ascii="Times New Roman" w:eastAsia="仿宋" w:hAnsi="Times New Roman"/>
                <w:sz w:val="24"/>
              </w:rPr>
            </w:pPr>
            <w:bookmarkStart w:id="12" w:name="_ENREF_10"/>
            <w:r>
              <w:rPr>
                <w:rFonts w:ascii="Times New Roman" w:eastAsia="仿宋" w:hAnsi="Times New Roman"/>
                <w:sz w:val="24"/>
              </w:rPr>
              <w:t xml:space="preserve">[7] Deng, J.; Zhang, L.; Dai, H.; Xia, Y.; Jiang, H.; Zhang, H.; He, H., Ultrasound-Assisted </w:t>
            </w:r>
            <w:proofErr w:type="spellStart"/>
            <w:r>
              <w:rPr>
                <w:rFonts w:ascii="Times New Roman" w:eastAsia="仿宋" w:hAnsi="Times New Roman"/>
                <w:sz w:val="24"/>
              </w:rPr>
              <w:t>Nanocasting</w:t>
            </w:r>
            <w:proofErr w:type="spellEnd"/>
            <w:r>
              <w:rPr>
                <w:rFonts w:ascii="Times New Roman" w:eastAsia="仿宋" w:hAnsi="Times New Roman"/>
                <w:sz w:val="24"/>
              </w:rPr>
              <w:t xml:space="preserve"> Fabrication of Ordered Mesoporous MnO</w:t>
            </w:r>
            <w:r>
              <w:rPr>
                <w:rFonts w:ascii="Times New Roman" w:eastAsia="仿宋" w:hAnsi="Times New Roman"/>
                <w:sz w:val="24"/>
                <w:vertAlign w:val="subscript"/>
              </w:rPr>
              <w:t>2</w:t>
            </w:r>
            <w:r>
              <w:rPr>
                <w:rFonts w:ascii="Times New Roman" w:eastAsia="仿宋" w:hAnsi="Times New Roman"/>
                <w:sz w:val="24"/>
              </w:rPr>
              <w:t xml:space="preserve"> and Co</w:t>
            </w:r>
            <w:r>
              <w:rPr>
                <w:rFonts w:ascii="Times New Roman" w:eastAsia="仿宋" w:hAnsi="Times New Roman"/>
                <w:sz w:val="24"/>
                <w:vertAlign w:val="subscript"/>
              </w:rPr>
              <w:t>3</w:t>
            </w:r>
            <w:r>
              <w:rPr>
                <w:rFonts w:ascii="Times New Roman" w:eastAsia="仿宋" w:hAnsi="Times New Roman"/>
                <w:sz w:val="24"/>
              </w:rPr>
              <w:t>O</w:t>
            </w:r>
            <w:r>
              <w:rPr>
                <w:rFonts w:ascii="Times New Roman" w:eastAsia="仿宋" w:hAnsi="Times New Roman"/>
                <w:sz w:val="24"/>
                <w:vertAlign w:val="subscript"/>
              </w:rPr>
              <w:t>4</w:t>
            </w:r>
            <w:r>
              <w:rPr>
                <w:rFonts w:ascii="Times New Roman" w:eastAsia="仿宋" w:hAnsi="Times New Roman"/>
                <w:sz w:val="24"/>
              </w:rPr>
              <w:t xml:space="preserve"> with High Surface Areas and Polycrystalline Walls, The Journal of Physical Chemistry C, 114(6), 2694-2700, 2010.</w:t>
            </w:r>
            <w:bookmarkEnd w:id="12"/>
          </w:p>
          <w:p w:rsidR="00D67BE8" w:rsidRDefault="00EE050D" w:rsidP="00DE7B83">
            <w:pPr>
              <w:spacing w:beforeLines="30" w:before="93" w:line="380" w:lineRule="exact"/>
              <w:ind w:left="480" w:hangingChars="200" w:hanging="480"/>
              <w:rPr>
                <w:rFonts w:ascii="Times New Roman" w:eastAsia="仿宋" w:hAnsi="Times New Roman"/>
                <w:sz w:val="24"/>
              </w:rPr>
            </w:pPr>
            <w:bookmarkStart w:id="13" w:name="_ENREF_11"/>
            <w:r>
              <w:rPr>
                <w:rFonts w:ascii="Times New Roman" w:eastAsia="仿宋" w:hAnsi="Times New Roman"/>
                <w:sz w:val="24"/>
              </w:rPr>
              <w:t xml:space="preserve">[8] Yang, H.; Deng, J.; Liu, Y.; </w:t>
            </w:r>
            <w:proofErr w:type="spellStart"/>
            <w:r>
              <w:rPr>
                <w:rFonts w:ascii="Times New Roman" w:eastAsia="仿宋" w:hAnsi="Times New Roman"/>
                <w:sz w:val="24"/>
              </w:rPr>
              <w:t>Xie</w:t>
            </w:r>
            <w:proofErr w:type="spellEnd"/>
            <w:r>
              <w:rPr>
                <w:rFonts w:ascii="Times New Roman" w:eastAsia="仿宋" w:hAnsi="Times New Roman"/>
                <w:sz w:val="24"/>
              </w:rPr>
              <w:t>, S.; Wu, Z.; Dai, H., Preparation and catalytic performance of Ag, Au, Pd or Pt nanoparticles supported on 3DOM CeO</w:t>
            </w:r>
            <w:r>
              <w:rPr>
                <w:rFonts w:ascii="Times New Roman" w:eastAsia="仿宋" w:hAnsi="Times New Roman"/>
                <w:sz w:val="24"/>
                <w:vertAlign w:val="subscript"/>
              </w:rPr>
              <w:t>2</w:t>
            </w:r>
            <w:r>
              <w:rPr>
                <w:rFonts w:ascii="Times New Roman" w:eastAsia="仿宋" w:hAnsi="Times New Roman"/>
                <w:sz w:val="24"/>
              </w:rPr>
              <w:t>–Al</w:t>
            </w:r>
            <w:r>
              <w:rPr>
                <w:rFonts w:ascii="Times New Roman" w:eastAsia="仿宋" w:hAnsi="Times New Roman"/>
                <w:sz w:val="24"/>
                <w:vertAlign w:val="subscript"/>
              </w:rPr>
              <w:t>2</w:t>
            </w:r>
            <w:r>
              <w:rPr>
                <w:rFonts w:ascii="Times New Roman" w:eastAsia="仿宋" w:hAnsi="Times New Roman"/>
                <w:sz w:val="24"/>
              </w:rPr>
              <w:t>O</w:t>
            </w:r>
            <w:r>
              <w:rPr>
                <w:rFonts w:ascii="Times New Roman" w:eastAsia="仿宋" w:hAnsi="Times New Roman"/>
                <w:sz w:val="24"/>
                <w:vertAlign w:val="subscript"/>
              </w:rPr>
              <w:t>3</w:t>
            </w:r>
            <w:r>
              <w:rPr>
                <w:rFonts w:ascii="Times New Roman" w:eastAsia="仿宋" w:hAnsi="Times New Roman"/>
                <w:sz w:val="24"/>
              </w:rPr>
              <w:t xml:space="preserve"> for toluene oxidation, Journal of Molecular Catalysis A: Chemical, 414, 9-18, 2016 .</w:t>
            </w:r>
            <w:bookmarkEnd w:id="13"/>
          </w:p>
          <w:p w:rsidR="00D67BE8" w:rsidRDefault="00EE050D" w:rsidP="00DE7B83">
            <w:pPr>
              <w:spacing w:beforeLines="30" w:before="93" w:line="380" w:lineRule="exact"/>
              <w:ind w:left="480" w:hangingChars="200" w:hanging="480"/>
              <w:rPr>
                <w:rFonts w:ascii="Times New Roman" w:eastAsia="仿宋" w:hAnsi="Times New Roman"/>
                <w:sz w:val="24"/>
              </w:rPr>
            </w:pPr>
            <w:bookmarkStart w:id="14" w:name="_ENREF_12"/>
            <w:r>
              <w:rPr>
                <w:rFonts w:ascii="Times New Roman" w:eastAsia="仿宋" w:hAnsi="Times New Roman"/>
                <w:sz w:val="24"/>
              </w:rPr>
              <w:t xml:space="preserve">[9] Wang, Z.; Liu, Y.; Yang, T.; Deng, J.; </w:t>
            </w:r>
            <w:proofErr w:type="spellStart"/>
            <w:r>
              <w:rPr>
                <w:rFonts w:ascii="Times New Roman" w:eastAsia="仿宋" w:hAnsi="Times New Roman"/>
                <w:sz w:val="24"/>
              </w:rPr>
              <w:t>Xie</w:t>
            </w:r>
            <w:proofErr w:type="spellEnd"/>
            <w:r>
              <w:rPr>
                <w:rFonts w:ascii="Times New Roman" w:eastAsia="仿宋" w:hAnsi="Times New Roman"/>
                <w:sz w:val="24"/>
              </w:rPr>
              <w:t xml:space="preserve">, S.; Dai, H., Catalytic performance of cobalt oxide-supported gold-palladium </w:t>
            </w:r>
            <w:proofErr w:type="spellStart"/>
            <w:r>
              <w:rPr>
                <w:rFonts w:ascii="Times New Roman" w:eastAsia="仿宋" w:hAnsi="Times New Roman"/>
                <w:sz w:val="24"/>
              </w:rPr>
              <w:t>nanocatalysts</w:t>
            </w:r>
            <w:proofErr w:type="spellEnd"/>
            <w:r>
              <w:rPr>
                <w:rFonts w:ascii="Times New Roman" w:eastAsia="仿宋" w:hAnsi="Times New Roman"/>
                <w:sz w:val="24"/>
              </w:rPr>
              <w:t xml:space="preserve"> for the removal of toluene and o-xylene, Chinese Journal of Catalysis, 38(2), 207-216, 2017.</w:t>
            </w:r>
            <w:bookmarkEnd w:id="14"/>
          </w:p>
          <w:p w:rsidR="00D67BE8" w:rsidRDefault="00EE050D" w:rsidP="00DE7B83">
            <w:pPr>
              <w:spacing w:beforeLines="30" w:before="93" w:line="380" w:lineRule="exact"/>
              <w:ind w:left="480" w:hangingChars="200" w:hanging="480"/>
              <w:rPr>
                <w:rFonts w:ascii="Times New Roman" w:eastAsia="仿宋" w:hAnsi="Times New Roman"/>
                <w:sz w:val="24"/>
              </w:rPr>
            </w:pPr>
            <w:bookmarkStart w:id="15" w:name="_ENREF_13"/>
            <w:r>
              <w:rPr>
                <w:rFonts w:ascii="Times New Roman" w:eastAsia="仿宋" w:hAnsi="Times New Roman"/>
                <w:sz w:val="24"/>
              </w:rPr>
              <w:t>[10] Yu, L.; Peng, R.; Chen, L.; Fu, M.; Wu, J.; Ye, D., Ag supported on CeO</w:t>
            </w:r>
            <w:r>
              <w:rPr>
                <w:rFonts w:ascii="Times New Roman" w:eastAsia="仿宋" w:hAnsi="Times New Roman"/>
                <w:sz w:val="24"/>
                <w:vertAlign w:val="subscript"/>
              </w:rPr>
              <w:t>2</w:t>
            </w:r>
            <w:r>
              <w:rPr>
                <w:rFonts w:ascii="Times New Roman" w:eastAsia="仿宋" w:hAnsi="Times New Roman"/>
                <w:sz w:val="24"/>
              </w:rPr>
              <w:t xml:space="preserve"> with different morphologies for the catalytic oxidation of HCHO. Chemical Engineering Journal, 334, 2480-2487, 2018,.</w:t>
            </w:r>
            <w:bookmarkEnd w:id="15"/>
          </w:p>
          <w:p w:rsidR="00D67BE8" w:rsidRDefault="00EE050D" w:rsidP="00DE7B83">
            <w:pPr>
              <w:spacing w:beforeLines="30" w:before="93" w:line="380" w:lineRule="exact"/>
              <w:ind w:left="480" w:hangingChars="200" w:hanging="480"/>
              <w:rPr>
                <w:rFonts w:ascii="Times New Roman" w:eastAsia="仿宋" w:hAnsi="Times New Roman"/>
                <w:sz w:val="24"/>
              </w:rPr>
            </w:pPr>
            <w:bookmarkStart w:id="16" w:name="_ENREF_14"/>
            <w:r>
              <w:rPr>
                <w:rFonts w:ascii="Times New Roman" w:eastAsia="仿宋" w:hAnsi="Times New Roman"/>
                <w:sz w:val="24"/>
              </w:rPr>
              <w:t xml:space="preserve">[11] </w:t>
            </w:r>
            <w:proofErr w:type="spellStart"/>
            <w:r>
              <w:rPr>
                <w:rFonts w:ascii="Times New Roman" w:eastAsia="仿宋" w:hAnsi="Times New Roman"/>
                <w:sz w:val="24"/>
              </w:rPr>
              <w:t>Bertinchamps</w:t>
            </w:r>
            <w:proofErr w:type="spellEnd"/>
            <w:r>
              <w:rPr>
                <w:rFonts w:ascii="Times New Roman" w:eastAsia="仿宋" w:hAnsi="Times New Roman"/>
                <w:sz w:val="24"/>
              </w:rPr>
              <w:t xml:space="preserve">, F.; Grégoire, C.; </w:t>
            </w:r>
            <w:proofErr w:type="spellStart"/>
            <w:r>
              <w:rPr>
                <w:rFonts w:ascii="Times New Roman" w:eastAsia="仿宋" w:hAnsi="Times New Roman"/>
                <w:sz w:val="24"/>
              </w:rPr>
              <w:t>Gaigneaux</w:t>
            </w:r>
            <w:proofErr w:type="spellEnd"/>
            <w:r>
              <w:rPr>
                <w:rFonts w:ascii="Times New Roman" w:eastAsia="仿宋" w:hAnsi="Times New Roman"/>
                <w:sz w:val="24"/>
              </w:rPr>
              <w:t>, E. M., Systematic investigation of supported transition metal oxide based formulations for the catalytic oxidative elimination of (</w:t>
            </w:r>
            <w:proofErr w:type="spellStart"/>
            <w:r>
              <w:rPr>
                <w:rFonts w:ascii="Times New Roman" w:eastAsia="仿宋" w:hAnsi="Times New Roman"/>
                <w:sz w:val="24"/>
              </w:rPr>
              <w:t>chloro</w:t>
            </w:r>
            <w:proofErr w:type="spellEnd"/>
            <w:r>
              <w:rPr>
                <w:rFonts w:ascii="Times New Roman" w:eastAsia="仿宋" w:hAnsi="Times New Roman"/>
                <w:sz w:val="24"/>
              </w:rPr>
              <w:t xml:space="preserve">)-aromatics: Part II: Influence of the nature and addition protocol of secondary phases to </w:t>
            </w:r>
            <w:proofErr w:type="spellStart"/>
            <w:r>
              <w:rPr>
                <w:rFonts w:ascii="Times New Roman" w:eastAsia="仿宋" w:hAnsi="Times New Roman"/>
                <w:sz w:val="24"/>
              </w:rPr>
              <w:t>VO</w:t>
            </w:r>
            <w:r>
              <w:rPr>
                <w:rFonts w:ascii="Times New Roman" w:eastAsia="仿宋" w:hAnsi="Times New Roman"/>
                <w:sz w:val="24"/>
                <w:vertAlign w:val="subscript"/>
              </w:rPr>
              <w:t>x</w:t>
            </w:r>
            <w:proofErr w:type="spellEnd"/>
            <w:r>
              <w:rPr>
                <w:rFonts w:ascii="Times New Roman" w:eastAsia="仿宋" w:hAnsi="Times New Roman"/>
                <w:sz w:val="24"/>
              </w:rPr>
              <w:t>/TiO</w:t>
            </w:r>
            <w:r>
              <w:rPr>
                <w:rFonts w:ascii="Times New Roman" w:eastAsia="仿宋" w:hAnsi="Times New Roman"/>
                <w:sz w:val="24"/>
                <w:vertAlign w:val="subscript"/>
              </w:rPr>
              <w:t>2</w:t>
            </w:r>
            <w:r>
              <w:rPr>
                <w:rFonts w:ascii="Times New Roman" w:eastAsia="仿宋" w:hAnsi="Times New Roman"/>
                <w:sz w:val="24"/>
              </w:rPr>
              <w:t>, Applied Catalysis B: Environmental, 66(1), 10-22, 2006.</w:t>
            </w:r>
            <w:bookmarkEnd w:id="16"/>
          </w:p>
          <w:p w:rsidR="00D67BE8" w:rsidRDefault="00EE050D" w:rsidP="00DE7B83">
            <w:pPr>
              <w:spacing w:beforeLines="30" w:before="93" w:line="380" w:lineRule="exact"/>
              <w:ind w:left="480" w:hangingChars="200" w:hanging="480"/>
              <w:rPr>
                <w:rFonts w:ascii="Times New Roman" w:eastAsia="仿宋" w:hAnsi="Times New Roman"/>
                <w:sz w:val="24"/>
              </w:rPr>
            </w:pPr>
            <w:bookmarkStart w:id="17" w:name="_ENREF_15"/>
            <w:r>
              <w:rPr>
                <w:rFonts w:ascii="Times New Roman" w:eastAsia="仿宋" w:hAnsi="Times New Roman"/>
                <w:sz w:val="24"/>
              </w:rPr>
              <w:t>[12] Zheng, X.; Huang, M.; You, Y.; Peng, H.; Wen, J., Core-shell structured α-Fe</w:t>
            </w:r>
            <w:r>
              <w:rPr>
                <w:rFonts w:ascii="Times New Roman" w:eastAsia="仿宋" w:hAnsi="Times New Roman"/>
                <w:sz w:val="24"/>
                <w:vertAlign w:val="subscript"/>
              </w:rPr>
              <w:t>2</w:t>
            </w:r>
            <w:r>
              <w:rPr>
                <w:rFonts w:ascii="Times New Roman" w:eastAsia="仿宋" w:hAnsi="Times New Roman"/>
                <w:sz w:val="24"/>
              </w:rPr>
              <w:t>O</w:t>
            </w:r>
            <w:r>
              <w:rPr>
                <w:rFonts w:ascii="Times New Roman" w:eastAsia="仿宋" w:hAnsi="Times New Roman"/>
                <w:sz w:val="24"/>
                <w:vertAlign w:val="subscript"/>
              </w:rPr>
              <w:t>3</w:t>
            </w:r>
            <w:r>
              <w:rPr>
                <w:rFonts w:ascii="Times New Roman" w:eastAsia="仿宋" w:hAnsi="Times New Roman"/>
                <w:sz w:val="24"/>
              </w:rPr>
              <w:t>@CeO</w:t>
            </w:r>
            <w:r>
              <w:rPr>
                <w:rFonts w:ascii="Times New Roman" w:eastAsia="仿宋" w:hAnsi="Times New Roman"/>
                <w:sz w:val="24"/>
                <w:vertAlign w:val="subscript"/>
              </w:rPr>
              <w:t>2</w:t>
            </w:r>
            <w:r>
              <w:rPr>
                <w:rFonts w:ascii="Times New Roman" w:eastAsia="仿宋" w:hAnsi="Times New Roman"/>
                <w:sz w:val="24"/>
              </w:rPr>
              <w:t xml:space="preserve"> heterojunction for the enhanced visible-light photocatalytic activity, Materials Research Bulletin, 101, 20-28, 2018.</w:t>
            </w:r>
            <w:bookmarkEnd w:id="17"/>
          </w:p>
          <w:p w:rsidR="00D67BE8" w:rsidRDefault="00EE050D" w:rsidP="00DE7B83">
            <w:pPr>
              <w:spacing w:beforeLines="30" w:before="93" w:line="380" w:lineRule="exact"/>
              <w:ind w:left="480" w:hangingChars="200" w:hanging="480"/>
              <w:rPr>
                <w:rFonts w:ascii="Times New Roman" w:eastAsia="仿宋" w:hAnsi="Times New Roman"/>
                <w:sz w:val="24"/>
              </w:rPr>
            </w:pPr>
            <w:bookmarkStart w:id="18" w:name="_ENREF_16"/>
            <w:r>
              <w:rPr>
                <w:rFonts w:ascii="Times New Roman" w:eastAsia="仿宋" w:hAnsi="Times New Roman"/>
                <w:sz w:val="24"/>
              </w:rPr>
              <w:t xml:space="preserve">[13] Liu, J.; Du, Y.; Liu, J.; Zhao, Z.; Cheng, K.; Chen, Y.; Wei, Y.; Song, W.; Zhang, X., Design of </w:t>
            </w:r>
            <w:proofErr w:type="spellStart"/>
            <w:r>
              <w:rPr>
                <w:rFonts w:ascii="Times New Roman" w:eastAsia="仿宋" w:hAnsi="Times New Roman"/>
                <w:sz w:val="24"/>
              </w:rPr>
              <w:t>MoFe</w:t>
            </w:r>
            <w:proofErr w:type="spellEnd"/>
            <w:r>
              <w:rPr>
                <w:rFonts w:ascii="Times New Roman" w:eastAsia="仿宋" w:hAnsi="Times New Roman"/>
                <w:sz w:val="24"/>
              </w:rPr>
              <w:t>/Beta@CeO</w:t>
            </w:r>
            <w:r>
              <w:rPr>
                <w:rFonts w:ascii="Times New Roman" w:eastAsia="仿宋" w:hAnsi="Times New Roman"/>
                <w:sz w:val="24"/>
                <w:vertAlign w:val="subscript"/>
              </w:rPr>
              <w:t>2</w:t>
            </w:r>
            <w:r>
              <w:rPr>
                <w:rFonts w:ascii="Times New Roman" w:eastAsia="仿宋" w:hAnsi="Times New Roman"/>
                <w:sz w:val="24"/>
              </w:rPr>
              <w:t xml:space="preserve"> catalysts with a core</w:t>
            </w:r>
            <w:r>
              <w:rPr>
                <w:rFonts w:ascii="Times New Roman" w:hAnsi="Times New Roman"/>
                <w:sz w:val="24"/>
              </w:rPr>
              <w:t>−</w:t>
            </w:r>
            <w:r>
              <w:rPr>
                <w:rFonts w:ascii="Times New Roman" w:eastAsia="仿宋" w:hAnsi="Times New Roman"/>
                <w:sz w:val="24"/>
              </w:rPr>
              <w:t>shell structure and their catalytic performances for the selective catalytic reduction of NO with NH</w:t>
            </w:r>
            <w:r>
              <w:rPr>
                <w:rFonts w:ascii="Times New Roman" w:eastAsia="仿宋" w:hAnsi="Times New Roman"/>
                <w:sz w:val="24"/>
                <w:vertAlign w:val="subscript"/>
              </w:rPr>
              <w:t>3</w:t>
            </w:r>
            <w:r>
              <w:rPr>
                <w:rFonts w:ascii="Times New Roman" w:eastAsia="仿宋" w:hAnsi="Times New Roman"/>
                <w:sz w:val="24"/>
              </w:rPr>
              <w:t>. Applied Catalysis B: Environmental, 203, 704-714, 2017.</w:t>
            </w:r>
            <w:bookmarkEnd w:id="18"/>
          </w:p>
          <w:p w:rsidR="00D67BE8" w:rsidRDefault="00EE050D" w:rsidP="00DE7B83">
            <w:pPr>
              <w:spacing w:beforeLines="30" w:before="93" w:line="380" w:lineRule="exact"/>
              <w:ind w:left="480" w:hangingChars="200" w:hanging="480"/>
              <w:rPr>
                <w:rFonts w:ascii="Times New Roman" w:hAnsi="Times New Roman"/>
                <w:sz w:val="24"/>
              </w:rPr>
            </w:pPr>
            <w:bookmarkStart w:id="19" w:name="_ENREF_19"/>
            <w:r>
              <w:rPr>
                <w:rFonts w:ascii="Times New Roman" w:eastAsia="仿宋" w:hAnsi="Times New Roman"/>
                <w:sz w:val="24"/>
              </w:rPr>
              <w:lastRenderedPageBreak/>
              <w:t>[14]</w:t>
            </w:r>
            <w:r>
              <w:rPr>
                <w:rFonts w:ascii="Times New Roman" w:eastAsia="仿宋" w:hAnsi="Times New Roman" w:hint="eastAsia"/>
                <w:sz w:val="24"/>
              </w:rPr>
              <w:t xml:space="preserve"> </w:t>
            </w:r>
            <w:r>
              <w:rPr>
                <w:sz w:val="24"/>
              </w:rPr>
              <w:t>何丽芳</w:t>
            </w:r>
            <w:r>
              <w:rPr>
                <w:sz w:val="24"/>
              </w:rPr>
              <w:t xml:space="preserve">; </w:t>
            </w:r>
            <w:r>
              <w:rPr>
                <w:sz w:val="24"/>
              </w:rPr>
              <w:t>廖银念</w:t>
            </w:r>
            <w:r>
              <w:rPr>
                <w:sz w:val="24"/>
              </w:rPr>
              <w:t xml:space="preserve">; </w:t>
            </w:r>
            <w:r>
              <w:rPr>
                <w:sz w:val="24"/>
              </w:rPr>
              <w:t>陈礼敏</w:t>
            </w:r>
            <w:r>
              <w:rPr>
                <w:sz w:val="24"/>
              </w:rPr>
              <w:t xml:space="preserve">; </w:t>
            </w:r>
            <w:r>
              <w:rPr>
                <w:sz w:val="24"/>
              </w:rPr>
              <w:t>付名利</w:t>
            </w:r>
            <w:r>
              <w:rPr>
                <w:sz w:val="24"/>
              </w:rPr>
              <w:t xml:space="preserve">; </w:t>
            </w:r>
            <w:r>
              <w:rPr>
                <w:sz w:val="24"/>
              </w:rPr>
              <w:t>吴军良</w:t>
            </w:r>
            <w:r>
              <w:rPr>
                <w:sz w:val="24"/>
              </w:rPr>
              <w:t xml:space="preserve">; </w:t>
            </w:r>
            <w:r>
              <w:rPr>
                <w:sz w:val="24"/>
              </w:rPr>
              <w:t>黄碧纯</w:t>
            </w:r>
            <w:r>
              <w:rPr>
                <w:sz w:val="24"/>
              </w:rPr>
              <w:t xml:space="preserve">; </w:t>
            </w:r>
            <w:r>
              <w:rPr>
                <w:sz w:val="24"/>
              </w:rPr>
              <w:t>叶代启</w:t>
            </w:r>
            <w:r>
              <w:rPr>
                <w:sz w:val="24"/>
              </w:rPr>
              <w:t xml:space="preserve">, </w:t>
            </w:r>
            <w:r>
              <w:rPr>
                <w:sz w:val="24"/>
              </w:rPr>
              <w:t>纳米</w:t>
            </w:r>
            <w:r>
              <w:rPr>
                <w:rFonts w:ascii="Times New Roman" w:hAnsi="Times New Roman"/>
                <w:sz w:val="24"/>
              </w:rPr>
              <w:t>CeO</w:t>
            </w:r>
            <w:r>
              <w:rPr>
                <w:rFonts w:ascii="Times New Roman" w:hAnsi="Times New Roman"/>
                <w:sz w:val="24"/>
                <w:vertAlign w:val="subscript"/>
              </w:rPr>
              <w:t>2</w:t>
            </w:r>
            <w:r>
              <w:rPr>
                <w:sz w:val="24"/>
              </w:rPr>
              <w:t>催化氧化甲苯的形貌效应研究</w:t>
            </w:r>
            <w:r>
              <w:rPr>
                <w:sz w:val="24"/>
              </w:rPr>
              <w:t xml:space="preserve">, </w:t>
            </w:r>
            <w:r>
              <w:rPr>
                <w:sz w:val="24"/>
              </w:rPr>
              <w:t>环境科学学报</w:t>
            </w:r>
            <w:r>
              <w:rPr>
                <w:sz w:val="24"/>
              </w:rPr>
              <w:t xml:space="preserve">, </w:t>
            </w:r>
            <w:r>
              <w:rPr>
                <w:rFonts w:ascii="Times New Roman" w:hAnsi="Times New Roman"/>
                <w:sz w:val="24"/>
              </w:rPr>
              <w:t>33(9), 2412-2421,2013.</w:t>
            </w:r>
            <w:bookmarkEnd w:id="19"/>
          </w:p>
          <w:p w:rsidR="00D67BE8" w:rsidRDefault="00EE050D" w:rsidP="00DE7B83">
            <w:pPr>
              <w:spacing w:beforeLines="30" w:before="93" w:line="380" w:lineRule="exact"/>
              <w:ind w:left="480" w:hangingChars="200" w:hanging="480"/>
              <w:rPr>
                <w:sz w:val="24"/>
              </w:rPr>
            </w:pPr>
            <w:bookmarkStart w:id="20" w:name="_ENREF_20"/>
            <w:r>
              <w:rPr>
                <w:sz w:val="24"/>
              </w:rPr>
              <w:t>[15]</w:t>
            </w:r>
            <w:r>
              <w:rPr>
                <w:rFonts w:hint="eastAsia"/>
                <w:sz w:val="24"/>
              </w:rPr>
              <w:t xml:space="preserve"> </w:t>
            </w:r>
            <w:r>
              <w:rPr>
                <w:sz w:val="24"/>
              </w:rPr>
              <w:t>张晓岚</w:t>
            </w:r>
            <w:r>
              <w:rPr>
                <w:sz w:val="24"/>
              </w:rPr>
              <w:t xml:space="preserve">; </w:t>
            </w:r>
            <w:r>
              <w:rPr>
                <w:sz w:val="24"/>
              </w:rPr>
              <w:t>袁静</w:t>
            </w:r>
            <w:r>
              <w:rPr>
                <w:sz w:val="24"/>
              </w:rPr>
              <w:t xml:space="preserve">; </w:t>
            </w:r>
            <w:r>
              <w:rPr>
                <w:sz w:val="24"/>
              </w:rPr>
              <w:t>蔡婷</w:t>
            </w:r>
            <w:r>
              <w:rPr>
                <w:sz w:val="24"/>
              </w:rPr>
              <w:t xml:space="preserve">; </w:t>
            </w:r>
            <w:r>
              <w:rPr>
                <w:sz w:val="24"/>
              </w:rPr>
              <w:t>叶俊辉</w:t>
            </w:r>
            <w:r>
              <w:rPr>
                <w:sz w:val="24"/>
              </w:rPr>
              <w:t xml:space="preserve">; </w:t>
            </w:r>
            <w:r>
              <w:rPr>
                <w:sz w:val="24"/>
              </w:rPr>
              <w:t>何丹农</w:t>
            </w:r>
            <w:r>
              <w:rPr>
                <w:sz w:val="24"/>
              </w:rPr>
              <w:t>,</w:t>
            </w:r>
            <w:r>
              <w:rPr>
                <w:rFonts w:ascii="Times New Roman" w:hAnsi="Times New Roman"/>
                <w:sz w:val="24"/>
              </w:rPr>
              <w:t xml:space="preserve"> Au/CeO</w:t>
            </w:r>
            <w:r>
              <w:rPr>
                <w:rFonts w:ascii="Times New Roman" w:hAnsi="Times New Roman"/>
                <w:sz w:val="24"/>
                <w:vertAlign w:val="subscript"/>
              </w:rPr>
              <w:t>2</w:t>
            </w:r>
            <w:r>
              <w:rPr>
                <w:sz w:val="24"/>
              </w:rPr>
              <w:t>基材料在挥发性有机物催化燃烧反应中的研究进展</w:t>
            </w:r>
            <w:r>
              <w:rPr>
                <w:sz w:val="24"/>
              </w:rPr>
              <w:t xml:space="preserve">, </w:t>
            </w:r>
            <w:r>
              <w:rPr>
                <w:sz w:val="24"/>
              </w:rPr>
              <w:t>化工进展</w:t>
            </w:r>
            <w:r>
              <w:rPr>
                <w:rFonts w:hint="eastAsia"/>
                <w:sz w:val="24"/>
              </w:rPr>
              <w:t>，</w:t>
            </w:r>
            <w:r>
              <w:rPr>
                <w:sz w:val="24"/>
              </w:rPr>
              <w:t xml:space="preserve"> </w:t>
            </w:r>
            <w:r>
              <w:rPr>
                <w:rFonts w:ascii="Times New Roman" w:hAnsi="Times New Roman"/>
                <w:sz w:val="24"/>
              </w:rPr>
              <w:t>36(12)</w:t>
            </w:r>
            <w:r>
              <w:rPr>
                <w:rFonts w:ascii="Times New Roman" w:hAnsi="Times New Roman" w:hint="eastAsia"/>
                <w:sz w:val="24"/>
              </w:rPr>
              <w:t>，</w:t>
            </w:r>
            <w:r>
              <w:rPr>
                <w:rFonts w:ascii="Times New Roman" w:hAnsi="Times New Roman"/>
                <w:sz w:val="24"/>
              </w:rPr>
              <w:t>4453-4461</w:t>
            </w:r>
            <w:r>
              <w:rPr>
                <w:rFonts w:ascii="Times New Roman" w:hAnsi="Times New Roman" w:hint="eastAsia"/>
                <w:sz w:val="24"/>
              </w:rPr>
              <w:t>，</w:t>
            </w:r>
            <w:r>
              <w:rPr>
                <w:rFonts w:ascii="Times New Roman" w:hAnsi="Times New Roman"/>
                <w:sz w:val="24"/>
              </w:rPr>
              <w:t>2017</w:t>
            </w:r>
            <w:bookmarkEnd w:id="20"/>
            <w:r>
              <w:rPr>
                <w:rFonts w:ascii="Times New Roman" w:hAnsi="Times New Roman" w:hint="eastAsia"/>
                <w:sz w:val="24"/>
              </w:rPr>
              <w:t>.</w:t>
            </w:r>
          </w:p>
          <w:p w:rsidR="00D67BE8" w:rsidRDefault="00EE050D" w:rsidP="00DE7B83">
            <w:pPr>
              <w:spacing w:beforeLines="30" w:before="93" w:line="380" w:lineRule="exact"/>
              <w:ind w:left="480" w:hangingChars="200" w:hanging="480"/>
              <w:rPr>
                <w:rFonts w:ascii="Times New Roman" w:eastAsia="仿宋" w:hAnsi="Times New Roman"/>
                <w:sz w:val="24"/>
              </w:rPr>
            </w:pPr>
            <w:bookmarkStart w:id="21" w:name="_ENREF_21"/>
            <w:r>
              <w:rPr>
                <w:rFonts w:ascii="Times New Roman" w:eastAsia="仿宋" w:hAnsi="Times New Roman"/>
                <w:sz w:val="24"/>
              </w:rPr>
              <w:t>[16]</w:t>
            </w:r>
            <w:r>
              <w:rPr>
                <w:rFonts w:ascii="Times New Roman" w:eastAsia="仿宋" w:hAnsi="Times New Roman" w:hint="eastAsia"/>
                <w:sz w:val="24"/>
              </w:rPr>
              <w:t xml:space="preserve"> </w:t>
            </w:r>
            <w:r>
              <w:rPr>
                <w:rFonts w:ascii="Times New Roman" w:eastAsia="仿宋" w:hAnsi="Times New Roman"/>
                <w:sz w:val="24"/>
              </w:rPr>
              <w:t>Li, H.F.; Zhang, N.; Chen, P.; Luo, M.F.; Lu, J.Q., High surface area Au/CeO</w:t>
            </w:r>
            <w:r>
              <w:rPr>
                <w:rFonts w:ascii="Times New Roman" w:eastAsia="仿宋" w:hAnsi="Times New Roman"/>
                <w:sz w:val="24"/>
                <w:vertAlign w:val="subscript"/>
              </w:rPr>
              <w:t>2</w:t>
            </w:r>
            <w:r>
              <w:rPr>
                <w:rFonts w:ascii="Times New Roman" w:eastAsia="仿宋" w:hAnsi="Times New Roman"/>
                <w:sz w:val="24"/>
              </w:rPr>
              <w:t xml:space="preserve"> catalysts for low temperature formaldehyde oxidation, Applied Catalysis B: Environmental, 110, 279-285, 2011.</w:t>
            </w:r>
            <w:bookmarkEnd w:id="21"/>
          </w:p>
          <w:p w:rsidR="00D67BE8" w:rsidRPr="00CC698C" w:rsidRDefault="00EE050D" w:rsidP="00DE7B83">
            <w:pPr>
              <w:numPr>
                <w:ilvl w:val="0"/>
                <w:numId w:val="4"/>
              </w:numPr>
              <w:tabs>
                <w:tab w:val="clear" w:pos="972"/>
                <w:tab w:val="left" w:pos="792"/>
              </w:tabs>
              <w:snapToGrid w:val="0"/>
              <w:spacing w:beforeLines="100" w:before="312" w:afterLines="50" w:after="156" w:line="440" w:lineRule="exact"/>
              <w:ind w:left="970" w:hanging="970"/>
              <w:rPr>
                <w:rFonts w:ascii="黑体" w:eastAsia="黑体" w:hAnsi="黑体"/>
                <w:b/>
                <w:bCs/>
                <w:sz w:val="24"/>
              </w:rPr>
            </w:pPr>
            <w:r w:rsidRPr="00CC698C">
              <w:rPr>
                <w:rFonts w:ascii="黑体" w:eastAsia="黑体" w:hAnsi="黑体" w:hint="eastAsia"/>
                <w:b/>
                <w:bCs/>
                <w:sz w:val="24"/>
              </w:rPr>
              <w:t>创新点与项目特色</w:t>
            </w:r>
          </w:p>
          <w:p w:rsidR="00D67BE8" w:rsidRDefault="00EE050D" w:rsidP="00DE7B83">
            <w:pPr>
              <w:spacing w:line="440" w:lineRule="exact"/>
              <w:ind w:firstLineChars="200" w:firstLine="480"/>
              <w:rPr>
                <w:sz w:val="24"/>
              </w:rPr>
            </w:pPr>
            <w:r>
              <w:rPr>
                <w:rFonts w:ascii="仿宋" w:eastAsia="仿宋" w:hAnsi="仿宋"/>
                <w:sz w:val="24"/>
              </w:rPr>
              <w:t>（1</w:t>
            </w:r>
            <w:r>
              <w:rPr>
                <w:sz w:val="24"/>
              </w:rPr>
              <w:t>）</w:t>
            </w:r>
            <w:r>
              <w:rPr>
                <w:rFonts w:hint="eastAsia"/>
                <w:sz w:val="24"/>
              </w:rPr>
              <w:t>铈基</w:t>
            </w:r>
            <w:r>
              <w:rPr>
                <w:sz w:val="24"/>
              </w:rPr>
              <w:t>催化剂结构的定向调控。通过建立催化剂结构</w:t>
            </w:r>
            <w:r>
              <w:rPr>
                <w:sz w:val="24"/>
              </w:rPr>
              <w:t>-</w:t>
            </w:r>
            <w:r>
              <w:rPr>
                <w:sz w:val="24"/>
              </w:rPr>
              <w:t>理化性质</w:t>
            </w:r>
            <w:r>
              <w:rPr>
                <w:sz w:val="24"/>
              </w:rPr>
              <w:t>-</w:t>
            </w:r>
            <w:r>
              <w:rPr>
                <w:sz w:val="24"/>
              </w:rPr>
              <w:t>催化活性的构效关系，将适合在低温条件下高效协同控制</w:t>
            </w:r>
            <w:r>
              <w:rPr>
                <w:rFonts w:ascii="Times New Roman" w:hAnsi="Times New Roman"/>
                <w:sz w:val="24"/>
              </w:rPr>
              <w:t>NO</w:t>
            </w:r>
            <w:r>
              <w:rPr>
                <w:sz w:val="24"/>
              </w:rPr>
              <w:t>和</w:t>
            </w:r>
            <w:r>
              <w:rPr>
                <w:rFonts w:ascii="Times New Roman" w:hAnsi="Times New Roman"/>
                <w:sz w:val="24"/>
              </w:rPr>
              <w:t>VOCs</w:t>
            </w:r>
            <w:r>
              <w:rPr>
                <w:sz w:val="24"/>
              </w:rPr>
              <w:t>的表面理化性质与制备条件有机协同，实现催化剂表面理化性质的定向控制，形成铈基催化剂制备工艺的新突破。</w:t>
            </w:r>
          </w:p>
          <w:p w:rsidR="00D67BE8" w:rsidRDefault="00EE050D" w:rsidP="00DE7B83">
            <w:pPr>
              <w:spacing w:line="440" w:lineRule="exact"/>
              <w:ind w:firstLineChars="200" w:firstLine="480"/>
              <w:rPr>
                <w:sz w:val="24"/>
              </w:rPr>
            </w:pPr>
            <w:r>
              <w:rPr>
                <w:sz w:val="24"/>
              </w:rPr>
              <w:t>（</w:t>
            </w:r>
            <w:r>
              <w:rPr>
                <w:sz w:val="24"/>
              </w:rPr>
              <w:t>2</w:t>
            </w:r>
            <w:r>
              <w:rPr>
                <w:sz w:val="24"/>
              </w:rPr>
              <w:t>）提高</w:t>
            </w:r>
            <w:r>
              <w:rPr>
                <w:rFonts w:hint="eastAsia"/>
                <w:sz w:val="24"/>
              </w:rPr>
              <w:t>铈基</w:t>
            </w:r>
            <w:r>
              <w:rPr>
                <w:sz w:val="24"/>
              </w:rPr>
              <w:t>催化剂的低温活性和抗硫性能。利用催化剂形貌效应、金属氧化物之间的相互作用，采用形貌调控技术和金属离子</w:t>
            </w:r>
            <w:r>
              <w:rPr>
                <w:rFonts w:ascii="Times New Roman" w:hAnsi="Times New Roman"/>
                <w:sz w:val="24"/>
              </w:rPr>
              <w:t>Cu</w:t>
            </w:r>
            <w:r>
              <w:rPr>
                <w:sz w:val="24"/>
              </w:rPr>
              <w:t>掺杂改性技术相结合的方法调变催化剂结构，使其较好的平衡催化剂的氧化性和还原性，能够有效的提高催化剂的低温催化活性和抗硫性能，使得催化剂能够在低温条件下高效协同控制工业烟气中氮氧化物和挥发性有机物</w:t>
            </w:r>
            <w:r>
              <w:rPr>
                <w:rFonts w:hint="eastAsia"/>
                <w:sz w:val="24"/>
              </w:rPr>
              <w:t>。</w:t>
            </w:r>
            <w:r>
              <w:rPr>
                <w:sz w:val="24"/>
              </w:rPr>
              <w:t xml:space="preserve"> </w:t>
            </w:r>
          </w:p>
          <w:p w:rsidR="00D67BE8" w:rsidRDefault="00EE050D" w:rsidP="00DE7B83">
            <w:pPr>
              <w:snapToGrid w:val="0"/>
              <w:spacing w:line="440" w:lineRule="exact"/>
              <w:ind w:firstLineChars="200" w:firstLine="480"/>
              <w:rPr>
                <w:sz w:val="24"/>
              </w:rPr>
            </w:pPr>
            <w:r>
              <w:rPr>
                <w:rFonts w:hint="eastAsia"/>
                <w:sz w:val="24"/>
              </w:rPr>
              <w:t>（</w:t>
            </w:r>
            <w:r>
              <w:rPr>
                <w:sz w:val="24"/>
              </w:rPr>
              <w:t>3</w:t>
            </w:r>
            <w:r>
              <w:rPr>
                <w:sz w:val="24"/>
              </w:rPr>
              <w:t>）将</w:t>
            </w:r>
            <w:r>
              <w:rPr>
                <w:rFonts w:ascii="Times New Roman" w:hAnsi="Times New Roman"/>
                <w:sz w:val="24"/>
              </w:rPr>
              <w:t>VOCs</w:t>
            </w:r>
            <w:r>
              <w:rPr>
                <w:sz w:val="24"/>
              </w:rPr>
              <w:t>催化氧化反应与氨选择性催化还原</w:t>
            </w:r>
            <w:r>
              <w:rPr>
                <w:rFonts w:ascii="Times New Roman" w:hAnsi="Times New Roman"/>
                <w:sz w:val="24"/>
              </w:rPr>
              <w:t>NO</w:t>
            </w:r>
            <w:r>
              <w:rPr>
                <w:sz w:val="24"/>
              </w:rPr>
              <w:t>反应集成在</w:t>
            </w:r>
            <w:r>
              <w:rPr>
                <w:rFonts w:ascii="Times New Roman" w:hAnsi="Times New Roman"/>
                <w:sz w:val="24"/>
              </w:rPr>
              <w:t>SCR</w:t>
            </w:r>
            <w:r>
              <w:rPr>
                <w:sz w:val="24"/>
              </w:rPr>
              <w:t>系统中。将氨选择性催化还原</w:t>
            </w:r>
            <w:r>
              <w:rPr>
                <w:rFonts w:ascii="Times New Roman" w:hAnsi="Times New Roman"/>
                <w:sz w:val="24"/>
              </w:rPr>
              <w:t>NO</w:t>
            </w:r>
            <w:r>
              <w:rPr>
                <w:sz w:val="24"/>
              </w:rPr>
              <w:t>反应、</w:t>
            </w:r>
            <w:r>
              <w:rPr>
                <w:rFonts w:ascii="Times New Roman" w:hAnsi="Times New Roman"/>
                <w:sz w:val="24"/>
              </w:rPr>
              <w:t>VOCs</w:t>
            </w:r>
            <w:r>
              <w:rPr>
                <w:sz w:val="24"/>
              </w:rPr>
              <w:t>氧化反应两个不同原理的反应过程</w:t>
            </w:r>
            <w:bookmarkStart w:id="22" w:name="OLE_LINK21"/>
            <w:bookmarkStart w:id="23" w:name="OLE_LINK24"/>
            <w:r>
              <w:rPr>
                <w:sz w:val="24"/>
              </w:rPr>
              <w:t>集成在</w:t>
            </w:r>
            <w:r>
              <w:rPr>
                <w:rFonts w:ascii="Times New Roman" w:hAnsi="Times New Roman"/>
                <w:sz w:val="24"/>
              </w:rPr>
              <w:t>SCR</w:t>
            </w:r>
            <w:r>
              <w:rPr>
                <w:sz w:val="24"/>
              </w:rPr>
              <w:t>系统中</w:t>
            </w:r>
            <w:bookmarkEnd w:id="22"/>
            <w:bookmarkEnd w:id="23"/>
            <w:r>
              <w:rPr>
                <w:sz w:val="24"/>
              </w:rPr>
              <w:t>，在不影响脱硝效率的同时提高</w:t>
            </w:r>
            <w:r>
              <w:rPr>
                <w:rFonts w:ascii="Times New Roman" w:hAnsi="Times New Roman"/>
                <w:sz w:val="24"/>
              </w:rPr>
              <w:t>VOCs</w:t>
            </w:r>
            <w:r>
              <w:rPr>
                <w:sz w:val="24"/>
              </w:rPr>
              <w:t>的氧化效率，实现低温条件下高效协同控制</w:t>
            </w:r>
            <w:r>
              <w:rPr>
                <w:rFonts w:ascii="Times New Roman" w:hAnsi="Times New Roman"/>
                <w:sz w:val="24"/>
              </w:rPr>
              <w:t>VOCs</w:t>
            </w:r>
            <w:r>
              <w:rPr>
                <w:sz w:val="24"/>
              </w:rPr>
              <w:t>的优化集成，降低成本，应用前景好</w:t>
            </w:r>
            <w:r>
              <w:rPr>
                <w:rFonts w:hint="eastAsia"/>
                <w:sz w:val="24"/>
              </w:rPr>
              <w:t>。</w:t>
            </w:r>
          </w:p>
          <w:p w:rsidR="00D67BE8" w:rsidRPr="00CC698C" w:rsidRDefault="00EE050D" w:rsidP="00DE7B83">
            <w:pPr>
              <w:numPr>
                <w:ilvl w:val="0"/>
                <w:numId w:val="4"/>
              </w:numPr>
              <w:tabs>
                <w:tab w:val="clear" w:pos="972"/>
                <w:tab w:val="left" w:pos="792"/>
              </w:tabs>
              <w:snapToGrid w:val="0"/>
              <w:spacing w:beforeLines="100" w:before="312" w:afterLines="50" w:after="156" w:line="440" w:lineRule="exact"/>
              <w:ind w:left="970" w:hanging="970"/>
              <w:rPr>
                <w:rFonts w:ascii="黑体" w:eastAsia="黑体" w:hAnsi="黑体"/>
                <w:b/>
                <w:bCs/>
                <w:sz w:val="24"/>
              </w:rPr>
            </w:pPr>
            <w:r w:rsidRPr="00CC698C">
              <w:rPr>
                <w:rFonts w:ascii="黑体" w:eastAsia="黑体" w:hAnsi="黑体" w:hint="eastAsia"/>
                <w:b/>
                <w:bCs/>
                <w:sz w:val="24"/>
              </w:rPr>
              <w:t>技术路线、拟解决的问题及预期成果</w:t>
            </w:r>
          </w:p>
          <w:p w:rsidR="00D67BE8" w:rsidRDefault="00EE050D" w:rsidP="00DE7B83">
            <w:pPr>
              <w:spacing w:line="440" w:lineRule="exact"/>
              <w:ind w:firstLineChars="200" w:firstLine="480"/>
              <w:rPr>
                <w:sz w:val="24"/>
              </w:rPr>
            </w:pPr>
            <w:r>
              <w:rPr>
                <w:sz w:val="24"/>
              </w:rPr>
              <w:t>本项目研究的技术路线示意图见图所示，结合形貌调控和金属</w:t>
            </w:r>
            <w:r>
              <w:rPr>
                <w:rFonts w:hint="eastAsia"/>
                <w:sz w:val="24"/>
              </w:rPr>
              <w:t>铜</w:t>
            </w:r>
            <w:r>
              <w:rPr>
                <w:sz w:val="24"/>
              </w:rPr>
              <w:t>离子掺杂改性的方法，制备具有不同性质结构的铈基催化剂，使其能够在低温条件下高效还原</w:t>
            </w:r>
            <w:r>
              <w:rPr>
                <w:rFonts w:ascii="Times New Roman" w:hAnsi="Times New Roman"/>
                <w:sz w:val="24"/>
              </w:rPr>
              <w:t>NO</w:t>
            </w:r>
            <w:r>
              <w:rPr>
                <w:sz w:val="24"/>
              </w:rPr>
              <w:t>的同时将</w:t>
            </w:r>
            <w:r>
              <w:rPr>
                <w:rFonts w:ascii="Times New Roman" w:hAnsi="Times New Roman"/>
                <w:sz w:val="24"/>
              </w:rPr>
              <w:t>VOCs</w:t>
            </w:r>
            <w:r>
              <w:rPr>
                <w:sz w:val="24"/>
              </w:rPr>
              <w:t>高效氧化。铈基催化剂制备及</w:t>
            </w:r>
            <w:r>
              <w:rPr>
                <w:rFonts w:ascii="Times New Roman" w:hAnsi="Times New Roman"/>
                <w:sz w:val="24"/>
              </w:rPr>
              <w:t>NO</w:t>
            </w:r>
            <w:r>
              <w:rPr>
                <w:sz w:val="24"/>
              </w:rPr>
              <w:t>还原和</w:t>
            </w:r>
            <w:r>
              <w:rPr>
                <w:rFonts w:ascii="Times New Roman" w:hAnsi="Times New Roman"/>
                <w:sz w:val="24"/>
              </w:rPr>
              <w:t>VOCs</w:t>
            </w:r>
            <w:r>
              <w:rPr>
                <w:sz w:val="24"/>
              </w:rPr>
              <w:t>催化氧化的性能研究、铈基催化剂反应前、后</w:t>
            </w:r>
            <w:r>
              <w:rPr>
                <w:sz w:val="24"/>
              </w:rPr>
              <w:t>/</w:t>
            </w:r>
            <w:r>
              <w:rPr>
                <w:sz w:val="24"/>
              </w:rPr>
              <w:t>结构调控前、后的表征等交互进行。技术路线示意图见图</w:t>
            </w:r>
            <w:r>
              <w:rPr>
                <w:rFonts w:hint="eastAsia"/>
                <w:sz w:val="24"/>
              </w:rPr>
              <w:t>1</w:t>
            </w:r>
            <w:r>
              <w:rPr>
                <w:sz w:val="24"/>
              </w:rPr>
              <w:t>。</w:t>
            </w:r>
          </w:p>
          <w:p w:rsidR="000435DF" w:rsidRDefault="000435DF" w:rsidP="00DE7B83">
            <w:pPr>
              <w:spacing w:line="440" w:lineRule="exact"/>
              <w:ind w:firstLineChars="200" w:firstLine="480"/>
              <w:rPr>
                <w:sz w:val="24"/>
              </w:rPr>
            </w:pPr>
          </w:p>
          <w:p w:rsidR="000435DF" w:rsidRDefault="000435DF" w:rsidP="00DE7B83">
            <w:pPr>
              <w:spacing w:line="440" w:lineRule="exact"/>
              <w:ind w:firstLineChars="200" w:firstLine="480"/>
              <w:rPr>
                <w:sz w:val="24"/>
              </w:rPr>
            </w:pPr>
          </w:p>
          <w:p w:rsidR="00D67BE8" w:rsidRDefault="00EE050D">
            <w:pPr>
              <w:keepNext/>
              <w:keepLines/>
              <w:spacing w:before="240" w:after="120" w:line="360" w:lineRule="auto"/>
              <w:jc w:val="center"/>
              <w:outlineLvl w:val="2"/>
              <w:rPr>
                <w:rFonts w:ascii="仿宋" w:eastAsia="仿宋" w:hAnsi="仿宋"/>
                <w:sz w:val="24"/>
                <w:szCs w:val="24"/>
              </w:rPr>
            </w:pPr>
            <w:r>
              <w:rPr>
                <w:rFonts w:ascii="仿宋" w:eastAsia="仿宋" w:hAnsi="仿宋"/>
                <w:noProof/>
                <w:sz w:val="24"/>
                <w:szCs w:val="24"/>
              </w:rPr>
              <w:lastRenderedPageBreak/>
              <w:drawing>
                <wp:inline distT="0" distB="0" distL="0" distR="0" wp14:anchorId="50AFE6CE" wp14:editId="073656B7">
                  <wp:extent cx="5212715" cy="6096000"/>
                  <wp:effectExtent l="0" t="0" r="698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215372" cy="6098850"/>
                          </a:xfrm>
                          <a:prstGeom prst="rect">
                            <a:avLst/>
                          </a:prstGeom>
                        </pic:spPr>
                      </pic:pic>
                    </a:graphicData>
                  </a:graphic>
                </wp:inline>
              </w:drawing>
            </w:r>
          </w:p>
          <w:p w:rsidR="00D67BE8" w:rsidRDefault="00EE050D">
            <w:pPr>
              <w:spacing w:after="240" w:line="360" w:lineRule="auto"/>
              <w:jc w:val="center"/>
              <w:rPr>
                <w:rFonts w:ascii="仿宋" w:eastAsia="仿宋" w:hAnsi="仿宋"/>
                <w:sz w:val="24"/>
                <w:szCs w:val="24"/>
              </w:rPr>
            </w:pPr>
            <w:r>
              <w:rPr>
                <w:rFonts w:ascii="仿宋" w:eastAsia="仿宋" w:hAnsi="仿宋" w:hint="eastAsia"/>
                <w:sz w:val="24"/>
                <w:szCs w:val="24"/>
              </w:rPr>
              <w:t>图1 技术路线</w:t>
            </w:r>
          </w:p>
          <w:p w:rsidR="00D67BE8" w:rsidRDefault="00EE050D" w:rsidP="00DE7B83">
            <w:pPr>
              <w:spacing w:line="440" w:lineRule="exact"/>
              <w:ind w:firstLineChars="200" w:firstLine="480"/>
              <w:rPr>
                <w:sz w:val="24"/>
              </w:rPr>
            </w:pPr>
            <w:r>
              <w:rPr>
                <w:rFonts w:hint="eastAsia"/>
                <w:sz w:val="24"/>
              </w:rPr>
              <w:t>预期成果：</w:t>
            </w:r>
          </w:p>
          <w:p w:rsidR="00D67BE8" w:rsidRDefault="00EE050D" w:rsidP="00DE7B83">
            <w:pPr>
              <w:spacing w:line="440" w:lineRule="exact"/>
              <w:ind w:firstLineChars="200" w:firstLine="480"/>
              <w:rPr>
                <w:sz w:val="24"/>
              </w:rPr>
            </w:pPr>
            <w:r>
              <w:rPr>
                <w:rFonts w:hint="eastAsia"/>
                <w:sz w:val="24"/>
              </w:rPr>
              <w:t>1</w:t>
            </w:r>
            <w:r>
              <w:rPr>
                <w:rFonts w:hint="eastAsia"/>
                <w:sz w:val="24"/>
              </w:rPr>
              <w:t>、项目完成时，研究开发出能满足在低温条件下协同控制</w:t>
            </w:r>
            <w:r>
              <w:rPr>
                <w:rFonts w:ascii="Times New Roman" w:hAnsi="Times New Roman"/>
                <w:sz w:val="24"/>
              </w:rPr>
              <w:t>NO</w:t>
            </w:r>
            <w:r>
              <w:rPr>
                <w:rFonts w:hint="eastAsia"/>
                <w:sz w:val="24"/>
              </w:rPr>
              <w:t>和</w:t>
            </w:r>
            <w:r>
              <w:rPr>
                <w:rFonts w:ascii="Times New Roman" w:hAnsi="Times New Roman"/>
                <w:sz w:val="24"/>
              </w:rPr>
              <w:t>VOCs</w:t>
            </w:r>
            <w:r>
              <w:rPr>
                <w:rFonts w:hint="eastAsia"/>
                <w:sz w:val="24"/>
              </w:rPr>
              <w:t>的高性能铈基催化剂制备的方法与工艺。</w:t>
            </w:r>
          </w:p>
          <w:p w:rsidR="00D67BE8" w:rsidRDefault="00EE050D" w:rsidP="00DE7B83">
            <w:pPr>
              <w:spacing w:line="440" w:lineRule="exact"/>
              <w:ind w:firstLineChars="200" w:firstLine="480"/>
              <w:rPr>
                <w:sz w:val="24"/>
              </w:rPr>
            </w:pPr>
            <w:r>
              <w:rPr>
                <w:sz w:val="24"/>
              </w:rPr>
              <w:t>2</w:t>
            </w:r>
            <w:r>
              <w:rPr>
                <w:rFonts w:hint="eastAsia"/>
                <w:sz w:val="24"/>
              </w:rPr>
              <w:t>、形成铈基催化剂低温脱硝协同控制</w:t>
            </w:r>
            <w:r>
              <w:rPr>
                <w:rFonts w:ascii="Times New Roman" w:hAnsi="Times New Roman"/>
                <w:sz w:val="24"/>
              </w:rPr>
              <w:t>VOCs</w:t>
            </w:r>
            <w:r>
              <w:rPr>
                <w:rFonts w:hint="eastAsia"/>
                <w:sz w:val="24"/>
              </w:rPr>
              <w:t>的理论和方法，开发出</w:t>
            </w:r>
            <w:r>
              <w:rPr>
                <w:rFonts w:ascii="Times New Roman" w:hAnsi="Times New Roman"/>
                <w:sz w:val="24"/>
              </w:rPr>
              <w:t>1</w:t>
            </w:r>
            <w:r>
              <w:rPr>
                <w:rFonts w:hint="eastAsia"/>
                <w:sz w:val="24"/>
              </w:rPr>
              <w:t>种铈基化剂，使其对工业烟气中氮氧化物和挥发性有机物脱除效率均达到</w:t>
            </w:r>
            <w:r>
              <w:rPr>
                <w:rFonts w:ascii="Times New Roman" w:hAnsi="Times New Roman"/>
                <w:sz w:val="24"/>
              </w:rPr>
              <w:t>85%</w:t>
            </w:r>
            <w:r>
              <w:rPr>
                <w:rFonts w:hint="eastAsia"/>
                <w:sz w:val="24"/>
              </w:rPr>
              <w:t>以上。</w:t>
            </w:r>
          </w:p>
          <w:p w:rsidR="00D67BE8" w:rsidRDefault="00D67BE8">
            <w:pPr>
              <w:tabs>
                <w:tab w:val="left" w:pos="792"/>
              </w:tabs>
              <w:snapToGrid w:val="0"/>
              <w:spacing w:beforeLines="50" w:before="156" w:afterLines="50" w:after="156" w:line="300" w:lineRule="auto"/>
              <w:rPr>
                <w:rFonts w:ascii="宋体" w:hAnsi="宋体"/>
                <w:b/>
                <w:bCs/>
                <w:sz w:val="24"/>
              </w:rPr>
            </w:pPr>
          </w:p>
          <w:p w:rsidR="00D67BE8" w:rsidRPr="00CC698C" w:rsidRDefault="00EE050D" w:rsidP="00DE7B83">
            <w:pPr>
              <w:tabs>
                <w:tab w:val="left" w:pos="792"/>
              </w:tabs>
              <w:snapToGrid w:val="0"/>
              <w:spacing w:beforeLines="100" w:before="312" w:afterLines="50" w:after="156" w:line="440" w:lineRule="exact"/>
              <w:ind w:left="970" w:hanging="970"/>
              <w:rPr>
                <w:rFonts w:ascii="黑体" w:eastAsia="黑体" w:hAnsi="黑体"/>
                <w:b/>
                <w:bCs/>
                <w:sz w:val="24"/>
              </w:rPr>
            </w:pPr>
            <w:r w:rsidRPr="00CC698C">
              <w:rPr>
                <w:rFonts w:ascii="黑体" w:eastAsia="黑体" w:hAnsi="黑体" w:hint="eastAsia"/>
                <w:b/>
                <w:bCs/>
                <w:sz w:val="24"/>
              </w:rPr>
              <w:lastRenderedPageBreak/>
              <w:t>（七）项目研究进度安排</w:t>
            </w:r>
          </w:p>
          <w:p w:rsidR="00D67BE8" w:rsidRDefault="00EE050D" w:rsidP="003D0BA2">
            <w:pPr>
              <w:spacing w:line="440" w:lineRule="exact"/>
              <w:ind w:firstLineChars="200" w:firstLine="480"/>
              <w:rPr>
                <w:rFonts w:ascii="Times New Roman" w:hAnsi="Times New Roman"/>
                <w:sz w:val="24"/>
              </w:rPr>
            </w:pPr>
            <w:r>
              <w:rPr>
                <w:rFonts w:hint="eastAsia"/>
                <w:sz w:val="24"/>
              </w:rPr>
              <w:t>本</w:t>
            </w:r>
            <w:r>
              <w:rPr>
                <w:rFonts w:ascii="Times New Roman" w:hAnsi="Times New Roman"/>
                <w:sz w:val="24"/>
              </w:rPr>
              <w:t>项目的计划研究时间为</w:t>
            </w:r>
            <w:r>
              <w:rPr>
                <w:rFonts w:ascii="Times New Roman" w:hAnsi="Times New Roman"/>
                <w:sz w:val="24"/>
              </w:rPr>
              <w:t>2</w:t>
            </w:r>
            <w:r>
              <w:rPr>
                <w:rFonts w:ascii="Times New Roman" w:hAnsi="Times New Roman"/>
                <w:sz w:val="24"/>
              </w:rPr>
              <w:t>年（</w:t>
            </w:r>
            <w:r>
              <w:rPr>
                <w:rFonts w:ascii="Times New Roman" w:hAnsi="Times New Roman"/>
                <w:sz w:val="24"/>
              </w:rPr>
              <w:t>2019</w:t>
            </w:r>
            <w:r>
              <w:rPr>
                <w:rFonts w:ascii="Times New Roman" w:hAnsi="Times New Roman"/>
                <w:sz w:val="24"/>
              </w:rPr>
              <w:t>年</w:t>
            </w:r>
            <w:r>
              <w:rPr>
                <w:rFonts w:ascii="Times New Roman" w:hAnsi="Times New Roman"/>
                <w:sz w:val="24"/>
              </w:rPr>
              <w:t>05</w:t>
            </w:r>
            <w:r>
              <w:rPr>
                <w:rFonts w:ascii="Times New Roman" w:hAnsi="Times New Roman"/>
                <w:sz w:val="24"/>
              </w:rPr>
              <w:t>月</w:t>
            </w:r>
            <w:r>
              <w:rPr>
                <w:rFonts w:ascii="Times New Roman" w:hAnsi="Times New Roman"/>
                <w:sz w:val="24"/>
              </w:rPr>
              <w:t>-2021</w:t>
            </w:r>
            <w:r>
              <w:rPr>
                <w:rFonts w:ascii="Times New Roman" w:hAnsi="Times New Roman"/>
                <w:sz w:val="24"/>
              </w:rPr>
              <w:t>年</w:t>
            </w:r>
            <w:r>
              <w:rPr>
                <w:rFonts w:ascii="Times New Roman" w:hAnsi="Times New Roman"/>
                <w:sz w:val="24"/>
              </w:rPr>
              <w:t>05</w:t>
            </w:r>
            <w:r>
              <w:rPr>
                <w:rFonts w:ascii="Times New Roman" w:hAnsi="Times New Roman"/>
                <w:sz w:val="24"/>
              </w:rPr>
              <w:t>月），具体安排如下：</w:t>
            </w:r>
          </w:p>
          <w:p w:rsidR="00D67BE8" w:rsidRDefault="00EE050D" w:rsidP="00DE7B83">
            <w:pPr>
              <w:spacing w:line="440" w:lineRule="exact"/>
              <w:ind w:firstLineChars="200" w:firstLine="480"/>
              <w:rPr>
                <w:rFonts w:ascii="Times New Roman" w:hAnsi="Times New Roman"/>
                <w:sz w:val="24"/>
              </w:rPr>
            </w:pPr>
            <w:r>
              <w:rPr>
                <w:rFonts w:ascii="Times New Roman" w:hAnsi="Times New Roman"/>
                <w:sz w:val="24"/>
              </w:rPr>
              <w:t>2019.05-2020.05</w:t>
            </w:r>
            <w:r>
              <w:rPr>
                <w:rFonts w:ascii="Times New Roman" w:hAnsi="Times New Roman"/>
                <w:sz w:val="24"/>
              </w:rPr>
              <w:t>：铈基催化剂的制备研究：在查阅文献、进行理论研究和分析的基础上，采用水热法等方法制备铈基催化剂，有目的地控制催化剂表面理化性质，研究复合氧化物催化剂表面理化性质的作用规律。对铈基催化剂协同控制</w:t>
            </w:r>
            <w:r>
              <w:rPr>
                <w:rFonts w:ascii="Times New Roman" w:hAnsi="Times New Roman"/>
                <w:sz w:val="24"/>
              </w:rPr>
              <w:t>NO</w:t>
            </w:r>
            <w:r>
              <w:rPr>
                <w:rFonts w:ascii="Times New Roman" w:hAnsi="Times New Roman"/>
                <w:sz w:val="24"/>
              </w:rPr>
              <w:t>和</w:t>
            </w:r>
            <w:r>
              <w:rPr>
                <w:rFonts w:ascii="Times New Roman" w:hAnsi="Times New Roman"/>
                <w:sz w:val="24"/>
              </w:rPr>
              <w:t>VOCs</w:t>
            </w:r>
            <w:r>
              <w:rPr>
                <w:rFonts w:ascii="Times New Roman" w:hAnsi="Times New Roman"/>
                <w:sz w:val="24"/>
              </w:rPr>
              <w:t>的性能研究：在实验室分别模拟研究铈基催化剂对</w:t>
            </w:r>
            <w:r>
              <w:rPr>
                <w:rFonts w:ascii="Times New Roman" w:hAnsi="Times New Roman"/>
                <w:sz w:val="24"/>
              </w:rPr>
              <w:t>NO</w:t>
            </w:r>
            <w:r>
              <w:rPr>
                <w:rFonts w:ascii="Times New Roman" w:hAnsi="Times New Roman"/>
                <w:sz w:val="24"/>
              </w:rPr>
              <w:t>催化还原和</w:t>
            </w:r>
            <w:r>
              <w:rPr>
                <w:rFonts w:ascii="Times New Roman" w:hAnsi="Times New Roman"/>
                <w:sz w:val="24"/>
              </w:rPr>
              <w:t>VOCs</w:t>
            </w:r>
            <w:r>
              <w:rPr>
                <w:rFonts w:ascii="Times New Roman" w:hAnsi="Times New Roman"/>
                <w:sz w:val="24"/>
              </w:rPr>
              <w:t>的氧化作用，并对反应前、后的铈基催化剂进行表征，分析反应前后催化剂的理化性质差异变化，考察催化剂的形貌结构、催化反应温度等因素对脱硝性能、去除</w:t>
            </w:r>
            <w:proofErr w:type="spellStart"/>
            <w:r>
              <w:rPr>
                <w:rFonts w:ascii="Times New Roman" w:hAnsi="Times New Roman"/>
                <w:sz w:val="24"/>
              </w:rPr>
              <w:t>VOCs</w:t>
            </w:r>
            <w:proofErr w:type="spellEnd"/>
            <w:r>
              <w:rPr>
                <w:rFonts w:ascii="Times New Roman" w:hAnsi="Times New Roman"/>
                <w:sz w:val="24"/>
              </w:rPr>
              <w:t>性能和抗硫性能的影响，研究结构调控对脱硝和去除</w:t>
            </w:r>
            <w:r>
              <w:rPr>
                <w:rFonts w:ascii="Times New Roman" w:hAnsi="Times New Roman"/>
                <w:sz w:val="24"/>
              </w:rPr>
              <w:t>VOCs</w:t>
            </w:r>
            <w:r>
              <w:rPr>
                <w:rFonts w:ascii="Times New Roman" w:hAnsi="Times New Roman"/>
                <w:sz w:val="24"/>
              </w:rPr>
              <w:t>的促进机制。</w:t>
            </w:r>
          </w:p>
          <w:p w:rsidR="00D67BE8" w:rsidRDefault="00EE050D" w:rsidP="00DE7B83">
            <w:pPr>
              <w:snapToGrid w:val="0"/>
              <w:spacing w:line="440" w:lineRule="exact"/>
              <w:ind w:firstLineChars="200" w:firstLine="480"/>
              <w:rPr>
                <w:sz w:val="24"/>
              </w:rPr>
            </w:pPr>
            <w:r>
              <w:rPr>
                <w:rFonts w:ascii="Times New Roman" w:hAnsi="Times New Roman"/>
                <w:sz w:val="24"/>
              </w:rPr>
              <w:t>2020.05-2021.05</w:t>
            </w:r>
            <w:r>
              <w:rPr>
                <w:rFonts w:ascii="Times New Roman" w:hAnsi="Times New Roman"/>
                <w:sz w:val="24"/>
              </w:rPr>
              <w:t>：铈</w:t>
            </w:r>
            <w:r>
              <w:rPr>
                <w:rFonts w:hint="eastAsia"/>
                <w:sz w:val="24"/>
              </w:rPr>
              <w:t>基催化剂</w:t>
            </w:r>
            <w:r>
              <w:rPr>
                <w:sz w:val="24"/>
              </w:rPr>
              <w:t>协同控制</w:t>
            </w:r>
            <w:r>
              <w:rPr>
                <w:rFonts w:ascii="Times New Roman" w:hAnsi="Times New Roman"/>
                <w:sz w:val="24"/>
              </w:rPr>
              <w:t>NO</w:t>
            </w:r>
            <w:r>
              <w:rPr>
                <w:sz w:val="24"/>
              </w:rPr>
              <w:t>和</w:t>
            </w:r>
            <w:r>
              <w:rPr>
                <w:rFonts w:ascii="Times New Roman" w:hAnsi="Times New Roman"/>
                <w:sz w:val="24"/>
              </w:rPr>
              <w:t>VOCs</w:t>
            </w:r>
            <w:r>
              <w:rPr>
                <w:rFonts w:hint="eastAsia"/>
                <w:sz w:val="24"/>
              </w:rPr>
              <w:t>的机理研究：针对优化筛选的铈基催化剂，在模拟烟气条件下，研究过铈基催化剂</w:t>
            </w:r>
            <w:r>
              <w:rPr>
                <w:sz w:val="24"/>
              </w:rPr>
              <w:t>协同控制</w:t>
            </w:r>
            <w:r>
              <w:rPr>
                <w:rFonts w:ascii="Times New Roman" w:hAnsi="Times New Roman"/>
                <w:sz w:val="24"/>
              </w:rPr>
              <w:t>NO</w:t>
            </w:r>
            <w:r>
              <w:rPr>
                <w:sz w:val="24"/>
              </w:rPr>
              <w:t>和</w:t>
            </w:r>
            <w:r>
              <w:rPr>
                <w:rFonts w:ascii="Times New Roman" w:hAnsi="Times New Roman"/>
                <w:sz w:val="24"/>
              </w:rPr>
              <w:t>VOCs</w:t>
            </w:r>
            <w:r>
              <w:rPr>
                <w:rFonts w:hint="eastAsia"/>
                <w:sz w:val="24"/>
              </w:rPr>
              <w:t>的影响因素；探讨</w:t>
            </w:r>
            <w:r>
              <w:rPr>
                <w:rFonts w:ascii="Times New Roman" w:hAnsi="Times New Roman"/>
                <w:sz w:val="24"/>
              </w:rPr>
              <w:t>SO</w:t>
            </w:r>
            <w:r>
              <w:rPr>
                <w:rFonts w:ascii="Times New Roman" w:hAnsi="Times New Roman"/>
                <w:sz w:val="24"/>
                <w:vertAlign w:val="subscript"/>
              </w:rPr>
              <w:t>2</w:t>
            </w:r>
            <w:r>
              <w:rPr>
                <w:rFonts w:hint="eastAsia"/>
                <w:sz w:val="24"/>
              </w:rPr>
              <w:t>的作用机制以及决定催化剂低温活性的关键因素，建立催化剂结构</w:t>
            </w:r>
            <w:r>
              <w:rPr>
                <w:rFonts w:hint="eastAsia"/>
                <w:sz w:val="24"/>
              </w:rPr>
              <w:t>-</w:t>
            </w:r>
            <w:r>
              <w:rPr>
                <w:rFonts w:hint="eastAsia"/>
                <w:sz w:val="24"/>
              </w:rPr>
              <w:t>理化性质</w:t>
            </w:r>
            <w:r>
              <w:rPr>
                <w:rFonts w:hint="eastAsia"/>
                <w:sz w:val="24"/>
              </w:rPr>
              <w:t>-</w:t>
            </w:r>
            <w:r>
              <w:rPr>
                <w:rFonts w:hint="eastAsia"/>
                <w:sz w:val="24"/>
              </w:rPr>
              <w:t>催化活性之间的关系。</w:t>
            </w:r>
          </w:p>
          <w:p w:rsidR="00D67BE8" w:rsidRPr="00CC698C" w:rsidRDefault="00EE050D" w:rsidP="00DE7B83">
            <w:pPr>
              <w:tabs>
                <w:tab w:val="left" w:pos="792"/>
              </w:tabs>
              <w:snapToGrid w:val="0"/>
              <w:spacing w:beforeLines="100" w:before="312" w:afterLines="50" w:after="156" w:line="440" w:lineRule="exact"/>
              <w:ind w:left="970" w:hanging="970"/>
              <w:rPr>
                <w:rFonts w:ascii="黑体" w:eastAsia="黑体" w:hAnsi="黑体"/>
                <w:b/>
                <w:bCs/>
                <w:sz w:val="24"/>
              </w:rPr>
            </w:pPr>
            <w:r w:rsidRPr="00CC698C">
              <w:rPr>
                <w:rFonts w:ascii="黑体" w:eastAsia="黑体" w:hAnsi="黑体" w:hint="eastAsia"/>
                <w:b/>
                <w:bCs/>
                <w:sz w:val="24"/>
              </w:rPr>
              <w:t>（八）已有基础</w:t>
            </w:r>
          </w:p>
          <w:p w:rsidR="00D67BE8" w:rsidRDefault="00EE050D">
            <w:pPr>
              <w:numPr>
                <w:ilvl w:val="1"/>
                <w:numId w:val="4"/>
              </w:numPr>
              <w:snapToGrid w:val="0"/>
              <w:spacing w:before="50" w:after="50" w:line="300" w:lineRule="auto"/>
              <w:rPr>
                <w:rFonts w:ascii="仿宋_GB2312" w:eastAsia="仿宋_GB2312"/>
                <w:b/>
                <w:bCs/>
                <w:sz w:val="24"/>
              </w:rPr>
            </w:pPr>
            <w:r>
              <w:rPr>
                <w:rFonts w:ascii="仿宋_GB2312" w:eastAsia="仿宋_GB2312" w:hint="eastAsia"/>
                <w:b/>
                <w:sz w:val="24"/>
              </w:rPr>
              <w:t>与本项目有关的研究积累和已取得的成绩</w:t>
            </w:r>
          </w:p>
          <w:p w:rsidR="00D67BE8" w:rsidRDefault="00EE050D" w:rsidP="00DE7B83">
            <w:pPr>
              <w:snapToGrid w:val="0"/>
              <w:spacing w:line="440" w:lineRule="exact"/>
              <w:ind w:firstLineChars="200" w:firstLine="480"/>
              <w:rPr>
                <w:rFonts w:ascii="宋体" w:hAnsi="宋体"/>
                <w:bCs/>
                <w:sz w:val="24"/>
                <w:szCs w:val="24"/>
              </w:rPr>
            </w:pPr>
            <w:r>
              <w:rPr>
                <w:rFonts w:ascii="宋体" w:hAnsi="宋体" w:hint="eastAsia"/>
                <w:bCs/>
                <w:sz w:val="24"/>
                <w:szCs w:val="24"/>
              </w:rPr>
              <w:t>无</w:t>
            </w:r>
          </w:p>
          <w:p w:rsidR="00D67BE8" w:rsidRDefault="00EE050D">
            <w:pPr>
              <w:numPr>
                <w:ilvl w:val="1"/>
                <w:numId w:val="4"/>
              </w:numPr>
              <w:snapToGrid w:val="0"/>
              <w:spacing w:before="50" w:after="50" w:line="300" w:lineRule="auto"/>
              <w:rPr>
                <w:rFonts w:ascii="仿宋_GB2312" w:eastAsia="仿宋_GB2312"/>
                <w:b/>
                <w:bCs/>
                <w:sz w:val="24"/>
              </w:rPr>
            </w:pPr>
            <w:r>
              <w:rPr>
                <w:rFonts w:ascii="仿宋_GB2312" w:eastAsia="仿宋_GB2312" w:hint="eastAsia"/>
                <w:b/>
                <w:sz w:val="24"/>
              </w:rPr>
              <w:t>已具备的条件，尚缺少的条件及解决方法</w:t>
            </w:r>
          </w:p>
          <w:p w:rsidR="00D67BE8" w:rsidRDefault="00EE050D" w:rsidP="00DE7B83">
            <w:pPr>
              <w:snapToGrid w:val="0"/>
              <w:spacing w:line="440" w:lineRule="exact"/>
              <w:ind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t>已具备的条件：铈基催化剂的研究属于大气研究范围，指导老师长期从事研究大气方面相关内容，可以提供更多催化剂知识、实验方法及相关问题处理方面的技巧与内容；环资学院实验设备齐全，相关指导人员完备，后期催化剂表征检测方面技术由相关专业人员提供；已查阅有关铈基催化剂方面内容，便于后期实验进行。</w:t>
            </w:r>
          </w:p>
          <w:p w:rsidR="00D67BE8" w:rsidRDefault="00EE050D">
            <w:pPr>
              <w:snapToGrid w:val="0"/>
              <w:spacing w:beforeLines="50" w:before="156" w:afterLines="50" w:after="156" w:line="300" w:lineRule="auto"/>
              <w:ind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t>尚缺少的条件：知识储备不够，部分资料无法查阅；实验经历较少，对于实验设计及操作不太完善；实验中部分损坏仪器的添补。</w:t>
            </w:r>
          </w:p>
          <w:p w:rsidR="00D67BE8" w:rsidRDefault="00EE050D">
            <w:pPr>
              <w:snapToGrid w:val="0"/>
              <w:spacing w:beforeLines="50" w:before="156" w:afterLines="50" w:after="156" w:line="300" w:lineRule="auto"/>
              <w:ind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t>解决方法：继续查阅相关书籍及论文；参与指导老师相关实验；定期检查设备情况。</w:t>
            </w:r>
          </w:p>
          <w:p w:rsidR="00D67BE8" w:rsidRDefault="00D67BE8">
            <w:pPr>
              <w:snapToGrid w:val="0"/>
              <w:spacing w:beforeLines="50" w:before="156" w:afterLines="50" w:after="156" w:line="300" w:lineRule="auto"/>
              <w:ind w:firstLineChars="200" w:firstLine="480"/>
              <w:rPr>
                <w:rFonts w:asciiTheme="minorEastAsia" w:eastAsiaTheme="minorEastAsia" w:hAnsiTheme="minorEastAsia"/>
                <w:sz w:val="24"/>
                <w:szCs w:val="24"/>
              </w:rPr>
            </w:pPr>
          </w:p>
          <w:p w:rsidR="00D67BE8" w:rsidRDefault="00D67BE8">
            <w:pPr>
              <w:snapToGrid w:val="0"/>
              <w:spacing w:beforeLines="50" w:before="156" w:afterLines="50" w:after="156" w:line="300" w:lineRule="auto"/>
              <w:ind w:firstLineChars="200" w:firstLine="480"/>
              <w:rPr>
                <w:rFonts w:asciiTheme="minorEastAsia" w:eastAsiaTheme="minorEastAsia" w:hAnsiTheme="minorEastAsia"/>
                <w:sz w:val="24"/>
                <w:szCs w:val="24"/>
              </w:rPr>
            </w:pPr>
          </w:p>
        </w:tc>
      </w:tr>
    </w:tbl>
    <w:p w:rsidR="00D67BE8" w:rsidRDefault="00EE050D">
      <w:pPr>
        <w:numPr>
          <w:ilvl w:val="1"/>
          <w:numId w:val="2"/>
        </w:numPr>
        <w:tabs>
          <w:tab w:val="clear" w:pos="1532"/>
          <w:tab w:val="left" w:pos="720"/>
        </w:tabs>
        <w:spacing w:beforeLines="50" w:before="156" w:afterLines="50" w:after="156" w:line="300" w:lineRule="auto"/>
        <w:ind w:left="0" w:right="567" w:firstLine="0"/>
        <w:rPr>
          <w:rFonts w:eastAsia="黑体"/>
          <w:bCs/>
          <w:sz w:val="28"/>
        </w:rPr>
      </w:pPr>
      <w:r>
        <w:rPr>
          <w:rFonts w:eastAsia="黑体" w:hint="eastAsia"/>
          <w:bCs/>
          <w:sz w:val="28"/>
        </w:rPr>
        <w:lastRenderedPageBreak/>
        <w:t>经费预算</w:t>
      </w:r>
    </w:p>
    <w:tbl>
      <w:tblPr>
        <w:tblW w:w="8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0"/>
        <w:gridCol w:w="1087"/>
        <w:gridCol w:w="2174"/>
        <w:gridCol w:w="1417"/>
        <w:gridCol w:w="1333"/>
      </w:tblGrid>
      <w:tr w:rsidR="00D67BE8" w:rsidTr="002D7E24">
        <w:trPr>
          <w:cantSplit/>
          <w:trHeight w:val="300"/>
          <w:jc w:val="center"/>
        </w:trPr>
        <w:tc>
          <w:tcPr>
            <w:tcW w:w="2730" w:type="dxa"/>
            <w:vMerge w:val="restart"/>
            <w:tcBorders>
              <w:top w:val="single" w:sz="4" w:space="0" w:color="auto"/>
              <w:left w:val="single" w:sz="6" w:space="0" w:color="auto"/>
              <w:right w:val="single" w:sz="4" w:space="0" w:color="auto"/>
            </w:tcBorders>
            <w:vAlign w:val="center"/>
          </w:tcPr>
          <w:p w:rsidR="00D67BE8" w:rsidRDefault="00EE050D">
            <w:pPr>
              <w:rPr>
                <w:b/>
                <w:bCs/>
              </w:rPr>
            </w:pPr>
            <w:r>
              <w:rPr>
                <w:rFonts w:hint="eastAsia"/>
              </w:rPr>
              <w:t>开支科目</w:t>
            </w:r>
            <w:r>
              <w:rPr>
                <w:rFonts w:hint="eastAsia"/>
              </w:rPr>
              <w:t xml:space="preserve">                    </w:t>
            </w:r>
          </w:p>
        </w:tc>
        <w:tc>
          <w:tcPr>
            <w:tcW w:w="1087" w:type="dxa"/>
            <w:vMerge w:val="restart"/>
            <w:tcBorders>
              <w:top w:val="single" w:sz="4" w:space="0" w:color="auto"/>
              <w:left w:val="single" w:sz="4" w:space="0" w:color="auto"/>
              <w:right w:val="single" w:sz="4" w:space="0" w:color="auto"/>
            </w:tcBorders>
            <w:vAlign w:val="center"/>
          </w:tcPr>
          <w:p w:rsidR="00D67BE8" w:rsidRDefault="00EE050D">
            <w:r>
              <w:rPr>
                <w:rFonts w:hint="eastAsia"/>
              </w:rPr>
              <w:t>预算经费</w:t>
            </w:r>
          </w:p>
          <w:p w:rsidR="00D67BE8" w:rsidRDefault="00EE050D">
            <w:pPr>
              <w:rPr>
                <w:b/>
                <w:bCs/>
              </w:rPr>
            </w:pPr>
            <w:r>
              <w:rPr>
                <w:rFonts w:hint="eastAsia"/>
              </w:rPr>
              <w:t>（元）</w:t>
            </w:r>
          </w:p>
        </w:tc>
        <w:tc>
          <w:tcPr>
            <w:tcW w:w="2174" w:type="dxa"/>
            <w:vMerge w:val="restart"/>
            <w:tcBorders>
              <w:top w:val="single" w:sz="4" w:space="0" w:color="auto"/>
              <w:left w:val="single" w:sz="4" w:space="0" w:color="auto"/>
              <w:right w:val="single" w:sz="4" w:space="0" w:color="auto"/>
            </w:tcBorders>
            <w:vAlign w:val="center"/>
          </w:tcPr>
          <w:p w:rsidR="00D67BE8" w:rsidRDefault="00EE050D">
            <w:pPr>
              <w:rPr>
                <w:b/>
                <w:bCs/>
              </w:rPr>
            </w:pPr>
            <w:r>
              <w:rPr>
                <w:rFonts w:hint="eastAsia"/>
              </w:rPr>
              <w:t>主要用途</w:t>
            </w:r>
            <w:r>
              <w:rPr>
                <w:rFonts w:hint="eastAsia"/>
              </w:rPr>
              <w:t xml:space="preserve">       </w:t>
            </w:r>
          </w:p>
        </w:tc>
        <w:tc>
          <w:tcPr>
            <w:tcW w:w="2750" w:type="dxa"/>
            <w:gridSpan w:val="2"/>
            <w:tcBorders>
              <w:top w:val="single" w:sz="4" w:space="0" w:color="auto"/>
              <w:left w:val="single" w:sz="4" w:space="0" w:color="auto"/>
              <w:bottom w:val="single" w:sz="4" w:space="0" w:color="auto"/>
              <w:right w:val="single" w:sz="4" w:space="0" w:color="auto"/>
            </w:tcBorders>
            <w:vAlign w:val="center"/>
          </w:tcPr>
          <w:p w:rsidR="00D67BE8" w:rsidRDefault="00EE050D">
            <w:pPr>
              <w:rPr>
                <w:b/>
                <w:bCs/>
              </w:rPr>
            </w:pPr>
            <w:r>
              <w:rPr>
                <w:rFonts w:hint="eastAsia"/>
              </w:rPr>
              <w:t>阶段下达经费计划（元）</w:t>
            </w:r>
          </w:p>
        </w:tc>
      </w:tr>
      <w:tr w:rsidR="00D67BE8" w:rsidTr="002D7E24">
        <w:trPr>
          <w:cantSplit/>
          <w:trHeight w:val="225"/>
          <w:jc w:val="center"/>
        </w:trPr>
        <w:tc>
          <w:tcPr>
            <w:tcW w:w="2730" w:type="dxa"/>
            <w:vMerge/>
            <w:tcBorders>
              <w:left w:val="single" w:sz="6" w:space="0" w:color="auto"/>
              <w:bottom w:val="single" w:sz="4" w:space="0" w:color="auto"/>
              <w:right w:val="single" w:sz="4" w:space="0" w:color="auto"/>
            </w:tcBorders>
            <w:vAlign w:val="center"/>
          </w:tcPr>
          <w:p w:rsidR="00D67BE8" w:rsidRDefault="00D67BE8"/>
        </w:tc>
        <w:tc>
          <w:tcPr>
            <w:tcW w:w="1087" w:type="dxa"/>
            <w:vMerge/>
            <w:tcBorders>
              <w:left w:val="single" w:sz="4" w:space="0" w:color="auto"/>
              <w:bottom w:val="single" w:sz="4" w:space="0" w:color="auto"/>
              <w:right w:val="single" w:sz="4" w:space="0" w:color="auto"/>
            </w:tcBorders>
            <w:vAlign w:val="center"/>
          </w:tcPr>
          <w:p w:rsidR="00D67BE8" w:rsidRDefault="00D67BE8"/>
        </w:tc>
        <w:tc>
          <w:tcPr>
            <w:tcW w:w="2174" w:type="dxa"/>
            <w:vMerge/>
            <w:tcBorders>
              <w:left w:val="single" w:sz="4" w:space="0" w:color="auto"/>
              <w:bottom w:val="single" w:sz="4" w:space="0" w:color="auto"/>
              <w:right w:val="single" w:sz="4" w:space="0" w:color="auto"/>
            </w:tcBorders>
            <w:vAlign w:val="center"/>
          </w:tcPr>
          <w:p w:rsidR="00D67BE8" w:rsidRDefault="00D67BE8"/>
        </w:tc>
        <w:tc>
          <w:tcPr>
            <w:tcW w:w="1417" w:type="dxa"/>
            <w:tcBorders>
              <w:top w:val="single" w:sz="4" w:space="0" w:color="auto"/>
              <w:left w:val="single" w:sz="4" w:space="0" w:color="auto"/>
              <w:bottom w:val="single" w:sz="4" w:space="0" w:color="auto"/>
              <w:right w:val="single" w:sz="4" w:space="0" w:color="auto"/>
            </w:tcBorders>
            <w:vAlign w:val="center"/>
          </w:tcPr>
          <w:p w:rsidR="00D67BE8" w:rsidRDefault="00EE050D">
            <w:r>
              <w:rPr>
                <w:rFonts w:hint="eastAsia"/>
              </w:rPr>
              <w:t>前半阶段</w:t>
            </w:r>
          </w:p>
        </w:tc>
        <w:tc>
          <w:tcPr>
            <w:tcW w:w="1333" w:type="dxa"/>
            <w:tcBorders>
              <w:top w:val="single" w:sz="4" w:space="0" w:color="auto"/>
              <w:left w:val="single" w:sz="4" w:space="0" w:color="auto"/>
              <w:bottom w:val="single" w:sz="4" w:space="0" w:color="auto"/>
              <w:right w:val="single" w:sz="4" w:space="0" w:color="auto"/>
            </w:tcBorders>
            <w:vAlign w:val="center"/>
          </w:tcPr>
          <w:p w:rsidR="00D67BE8" w:rsidRDefault="00EE050D">
            <w:r>
              <w:rPr>
                <w:rFonts w:hint="eastAsia"/>
              </w:rPr>
              <w:t>后半阶段</w:t>
            </w:r>
          </w:p>
        </w:tc>
      </w:tr>
      <w:tr w:rsidR="00D67BE8" w:rsidTr="002D7E24">
        <w:trPr>
          <w:cantSplit/>
          <w:trHeight w:val="549"/>
          <w:jc w:val="center"/>
        </w:trPr>
        <w:tc>
          <w:tcPr>
            <w:tcW w:w="2730" w:type="dxa"/>
            <w:tcBorders>
              <w:top w:val="single" w:sz="4" w:space="0" w:color="auto"/>
              <w:left w:val="single" w:sz="6" w:space="0" w:color="auto"/>
              <w:bottom w:val="single" w:sz="4" w:space="0" w:color="auto"/>
              <w:right w:val="single" w:sz="4" w:space="0" w:color="auto"/>
            </w:tcBorders>
            <w:vAlign w:val="center"/>
          </w:tcPr>
          <w:p w:rsidR="00D67BE8" w:rsidRDefault="00EE050D">
            <w:r>
              <w:rPr>
                <w:rFonts w:hint="eastAsia"/>
              </w:rPr>
              <w:t>预算经费总额</w:t>
            </w:r>
          </w:p>
        </w:tc>
        <w:tc>
          <w:tcPr>
            <w:tcW w:w="1087" w:type="dxa"/>
            <w:tcBorders>
              <w:top w:val="single" w:sz="4" w:space="0" w:color="auto"/>
              <w:left w:val="single" w:sz="4" w:space="0" w:color="auto"/>
              <w:bottom w:val="single" w:sz="4" w:space="0" w:color="auto"/>
              <w:right w:val="single" w:sz="4" w:space="0" w:color="auto"/>
            </w:tcBorders>
            <w:vAlign w:val="center"/>
          </w:tcPr>
          <w:p w:rsidR="00D67BE8" w:rsidRPr="003737B2" w:rsidRDefault="00EE050D" w:rsidP="003737B2">
            <w:pPr>
              <w:jc w:val="center"/>
              <w:rPr>
                <w:b/>
                <w:bCs/>
                <w:sz w:val="24"/>
                <w:szCs w:val="24"/>
              </w:rPr>
            </w:pPr>
            <w:r w:rsidRPr="003737B2">
              <w:rPr>
                <w:rFonts w:hint="eastAsia"/>
                <w:b/>
                <w:bCs/>
                <w:sz w:val="24"/>
                <w:szCs w:val="24"/>
              </w:rPr>
              <w:t>1</w:t>
            </w:r>
            <w:r w:rsidRPr="003737B2">
              <w:rPr>
                <w:b/>
                <w:bCs/>
                <w:sz w:val="24"/>
                <w:szCs w:val="24"/>
              </w:rPr>
              <w:t>0000</w:t>
            </w:r>
          </w:p>
        </w:tc>
        <w:tc>
          <w:tcPr>
            <w:tcW w:w="2174" w:type="dxa"/>
            <w:tcBorders>
              <w:top w:val="single" w:sz="4" w:space="0" w:color="auto"/>
              <w:left w:val="single" w:sz="4" w:space="0" w:color="auto"/>
              <w:bottom w:val="single" w:sz="4" w:space="0" w:color="auto"/>
              <w:right w:val="single" w:sz="4" w:space="0" w:color="auto"/>
            </w:tcBorders>
            <w:vAlign w:val="center"/>
          </w:tcPr>
          <w:p w:rsidR="00D67BE8" w:rsidRPr="003737B2" w:rsidRDefault="00EE050D" w:rsidP="003737B2">
            <w:pPr>
              <w:jc w:val="center"/>
              <w:rPr>
                <w:b/>
                <w:bCs/>
                <w:sz w:val="24"/>
                <w:szCs w:val="24"/>
              </w:rPr>
            </w:pPr>
            <w:r w:rsidRPr="003737B2">
              <w:rPr>
                <w:rFonts w:hint="eastAsia"/>
                <w:b/>
                <w:bCs/>
                <w:sz w:val="24"/>
                <w:szCs w:val="24"/>
              </w:rPr>
              <w:t>项目研究</w:t>
            </w:r>
          </w:p>
        </w:tc>
        <w:tc>
          <w:tcPr>
            <w:tcW w:w="1417" w:type="dxa"/>
            <w:tcBorders>
              <w:top w:val="single" w:sz="4" w:space="0" w:color="auto"/>
              <w:left w:val="single" w:sz="4" w:space="0" w:color="auto"/>
              <w:bottom w:val="single" w:sz="4" w:space="0" w:color="auto"/>
              <w:right w:val="single" w:sz="4" w:space="0" w:color="auto"/>
            </w:tcBorders>
            <w:vAlign w:val="center"/>
          </w:tcPr>
          <w:p w:rsidR="00D67BE8" w:rsidRPr="003737B2" w:rsidRDefault="00EE050D" w:rsidP="003737B2">
            <w:pPr>
              <w:jc w:val="center"/>
              <w:rPr>
                <w:b/>
                <w:bCs/>
                <w:sz w:val="24"/>
                <w:szCs w:val="24"/>
              </w:rPr>
            </w:pPr>
            <w:r w:rsidRPr="003737B2">
              <w:rPr>
                <w:rFonts w:hint="eastAsia"/>
                <w:b/>
                <w:bCs/>
                <w:sz w:val="24"/>
                <w:szCs w:val="24"/>
              </w:rPr>
              <w:t>3</w:t>
            </w:r>
            <w:r w:rsidRPr="003737B2">
              <w:rPr>
                <w:b/>
                <w:bCs/>
                <w:sz w:val="24"/>
                <w:szCs w:val="24"/>
              </w:rPr>
              <w:t>000</w:t>
            </w:r>
          </w:p>
        </w:tc>
        <w:tc>
          <w:tcPr>
            <w:tcW w:w="1333" w:type="dxa"/>
            <w:tcBorders>
              <w:top w:val="single" w:sz="4" w:space="0" w:color="auto"/>
              <w:left w:val="single" w:sz="4" w:space="0" w:color="auto"/>
              <w:bottom w:val="single" w:sz="4" w:space="0" w:color="auto"/>
              <w:right w:val="single" w:sz="4" w:space="0" w:color="auto"/>
            </w:tcBorders>
            <w:vAlign w:val="center"/>
          </w:tcPr>
          <w:p w:rsidR="00D67BE8" w:rsidRPr="003737B2" w:rsidRDefault="00EE050D" w:rsidP="003737B2">
            <w:pPr>
              <w:jc w:val="center"/>
              <w:rPr>
                <w:b/>
                <w:bCs/>
                <w:sz w:val="24"/>
                <w:szCs w:val="24"/>
              </w:rPr>
            </w:pPr>
            <w:r w:rsidRPr="003737B2">
              <w:rPr>
                <w:rFonts w:hint="eastAsia"/>
                <w:b/>
                <w:bCs/>
                <w:sz w:val="24"/>
                <w:szCs w:val="24"/>
              </w:rPr>
              <w:t>7</w:t>
            </w:r>
            <w:r w:rsidRPr="003737B2">
              <w:rPr>
                <w:b/>
                <w:bCs/>
                <w:sz w:val="24"/>
                <w:szCs w:val="24"/>
              </w:rPr>
              <w:t>000</w:t>
            </w:r>
          </w:p>
        </w:tc>
      </w:tr>
      <w:tr w:rsidR="00D67BE8" w:rsidTr="002D7E24">
        <w:trPr>
          <w:cantSplit/>
          <w:trHeight w:val="542"/>
          <w:jc w:val="center"/>
        </w:trPr>
        <w:tc>
          <w:tcPr>
            <w:tcW w:w="2730" w:type="dxa"/>
            <w:tcBorders>
              <w:top w:val="single" w:sz="4" w:space="0" w:color="auto"/>
              <w:left w:val="single" w:sz="6" w:space="0" w:color="auto"/>
              <w:bottom w:val="single" w:sz="4" w:space="0" w:color="auto"/>
              <w:right w:val="single" w:sz="4" w:space="0" w:color="auto"/>
            </w:tcBorders>
            <w:vAlign w:val="center"/>
          </w:tcPr>
          <w:p w:rsidR="00D67BE8" w:rsidRDefault="00EE050D">
            <w:r>
              <w:rPr>
                <w:rFonts w:hint="eastAsia"/>
              </w:rPr>
              <w:t xml:space="preserve">1. </w:t>
            </w:r>
            <w:r>
              <w:rPr>
                <w:rFonts w:hint="eastAsia"/>
              </w:rPr>
              <w:t>业务费</w:t>
            </w:r>
          </w:p>
        </w:tc>
        <w:tc>
          <w:tcPr>
            <w:tcW w:w="1087" w:type="dxa"/>
            <w:tcBorders>
              <w:top w:val="single" w:sz="4" w:space="0" w:color="auto"/>
              <w:left w:val="single" w:sz="4" w:space="0" w:color="auto"/>
              <w:bottom w:val="single" w:sz="4" w:space="0" w:color="auto"/>
              <w:right w:val="single" w:sz="4" w:space="0" w:color="auto"/>
            </w:tcBorders>
            <w:vAlign w:val="center"/>
          </w:tcPr>
          <w:p w:rsidR="00D67BE8" w:rsidRPr="003737B2" w:rsidRDefault="00EE050D" w:rsidP="003737B2">
            <w:pPr>
              <w:jc w:val="center"/>
              <w:rPr>
                <w:b/>
                <w:bCs/>
                <w:sz w:val="24"/>
                <w:szCs w:val="24"/>
              </w:rPr>
            </w:pPr>
            <w:r w:rsidRPr="003737B2">
              <w:rPr>
                <w:b/>
                <w:bCs/>
                <w:sz w:val="24"/>
                <w:szCs w:val="24"/>
              </w:rPr>
              <w:t>6000</w:t>
            </w:r>
          </w:p>
        </w:tc>
        <w:tc>
          <w:tcPr>
            <w:tcW w:w="2174"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D67BE8" w:rsidRPr="003737B2" w:rsidRDefault="00185520" w:rsidP="003737B2">
            <w:pPr>
              <w:jc w:val="center"/>
              <w:rPr>
                <w:b/>
                <w:bCs/>
                <w:sz w:val="24"/>
                <w:szCs w:val="24"/>
              </w:rPr>
            </w:pPr>
            <w:r w:rsidRPr="003737B2">
              <w:rPr>
                <w:b/>
                <w:bCs/>
                <w:sz w:val="24"/>
                <w:szCs w:val="24"/>
              </w:rPr>
              <w:t>1800</w:t>
            </w:r>
          </w:p>
        </w:tc>
        <w:tc>
          <w:tcPr>
            <w:tcW w:w="1333" w:type="dxa"/>
            <w:tcBorders>
              <w:top w:val="single" w:sz="4" w:space="0" w:color="auto"/>
              <w:left w:val="single" w:sz="4" w:space="0" w:color="auto"/>
              <w:bottom w:val="single" w:sz="4" w:space="0" w:color="auto"/>
              <w:right w:val="single" w:sz="4" w:space="0" w:color="auto"/>
            </w:tcBorders>
            <w:vAlign w:val="center"/>
          </w:tcPr>
          <w:p w:rsidR="00D67BE8" w:rsidRPr="003737B2" w:rsidRDefault="00185520" w:rsidP="003737B2">
            <w:pPr>
              <w:jc w:val="center"/>
              <w:rPr>
                <w:b/>
                <w:bCs/>
                <w:sz w:val="24"/>
                <w:szCs w:val="24"/>
              </w:rPr>
            </w:pPr>
            <w:r w:rsidRPr="003737B2">
              <w:rPr>
                <w:b/>
                <w:bCs/>
                <w:sz w:val="24"/>
                <w:szCs w:val="24"/>
              </w:rPr>
              <w:t>4200</w:t>
            </w:r>
          </w:p>
        </w:tc>
      </w:tr>
      <w:tr w:rsidR="00D67BE8" w:rsidTr="002D7E24">
        <w:trPr>
          <w:cantSplit/>
          <w:trHeight w:val="578"/>
          <w:jc w:val="center"/>
        </w:trPr>
        <w:tc>
          <w:tcPr>
            <w:tcW w:w="2730" w:type="dxa"/>
            <w:tcBorders>
              <w:top w:val="single" w:sz="4" w:space="0" w:color="auto"/>
              <w:left w:val="single" w:sz="6" w:space="0" w:color="auto"/>
              <w:bottom w:val="single" w:sz="4" w:space="0" w:color="auto"/>
              <w:right w:val="single" w:sz="4" w:space="0" w:color="auto"/>
            </w:tcBorders>
            <w:vAlign w:val="center"/>
          </w:tcPr>
          <w:p w:rsidR="00D67BE8" w:rsidRDefault="00EE050D">
            <w:r>
              <w:rPr>
                <w:rFonts w:hint="eastAsia"/>
              </w:rPr>
              <w:t>（</w:t>
            </w:r>
            <w:r>
              <w:rPr>
                <w:rFonts w:hint="eastAsia"/>
              </w:rPr>
              <w:t>1</w:t>
            </w:r>
            <w:r>
              <w:rPr>
                <w:rFonts w:hint="eastAsia"/>
              </w:rPr>
              <w:t>）计算、分析、测试费</w:t>
            </w:r>
          </w:p>
        </w:tc>
        <w:tc>
          <w:tcPr>
            <w:tcW w:w="1087" w:type="dxa"/>
            <w:tcBorders>
              <w:top w:val="single" w:sz="4" w:space="0" w:color="auto"/>
              <w:left w:val="single" w:sz="4" w:space="0" w:color="auto"/>
              <w:bottom w:val="single" w:sz="4" w:space="0" w:color="auto"/>
              <w:right w:val="single" w:sz="4" w:space="0" w:color="auto"/>
            </w:tcBorders>
            <w:vAlign w:val="center"/>
          </w:tcPr>
          <w:p w:rsidR="00D67BE8" w:rsidRPr="003737B2" w:rsidRDefault="00EE050D" w:rsidP="003737B2">
            <w:pPr>
              <w:jc w:val="center"/>
              <w:rPr>
                <w:b/>
                <w:bCs/>
                <w:sz w:val="24"/>
                <w:szCs w:val="24"/>
              </w:rPr>
            </w:pPr>
            <w:r w:rsidRPr="003737B2">
              <w:rPr>
                <w:rFonts w:hint="eastAsia"/>
                <w:b/>
                <w:bCs/>
                <w:sz w:val="24"/>
                <w:szCs w:val="24"/>
              </w:rPr>
              <w:t>6</w:t>
            </w:r>
            <w:r w:rsidRPr="003737B2">
              <w:rPr>
                <w:b/>
                <w:bCs/>
                <w:sz w:val="24"/>
                <w:szCs w:val="24"/>
              </w:rPr>
              <w:t>000</w:t>
            </w:r>
          </w:p>
        </w:tc>
        <w:tc>
          <w:tcPr>
            <w:tcW w:w="2174" w:type="dxa"/>
            <w:tcBorders>
              <w:top w:val="single" w:sz="4" w:space="0" w:color="auto"/>
              <w:left w:val="single" w:sz="4" w:space="0" w:color="auto"/>
              <w:bottom w:val="single" w:sz="4" w:space="0" w:color="auto"/>
              <w:right w:val="single" w:sz="4" w:space="0" w:color="auto"/>
            </w:tcBorders>
            <w:vAlign w:val="center"/>
          </w:tcPr>
          <w:p w:rsidR="00D67BE8" w:rsidRPr="003737B2" w:rsidRDefault="00EE050D" w:rsidP="003737B2">
            <w:pPr>
              <w:jc w:val="center"/>
              <w:rPr>
                <w:b/>
                <w:bCs/>
                <w:sz w:val="24"/>
                <w:szCs w:val="24"/>
              </w:rPr>
            </w:pPr>
            <w:r w:rsidRPr="003737B2">
              <w:rPr>
                <w:rFonts w:hint="eastAsia"/>
                <w:b/>
                <w:bCs/>
                <w:sz w:val="24"/>
                <w:szCs w:val="24"/>
              </w:rPr>
              <w:t>催化剂表征测试</w:t>
            </w:r>
          </w:p>
        </w:tc>
        <w:tc>
          <w:tcPr>
            <w:tcW w:w="1417" w:type="dxa"/>
            <w:tcBorders>
              <w:top w:val="single" w:sz="4" w:space="0" w:color="auto"/>
              <w:left w:val="single" w:sz="4" w:space="0" w:color="auto"/>
              <w:bottom w:val="single" w:sz="4" w:space="0" w:color="auto"/>
              <w:right w:val="single" w:sz="4" w:space="0" w:color="auto"/>
            </w:tcBorders>
            <w:vAlign w:val="center"/>
          </w:tcPr>
          <w:p w:rsidR="00D67BE8" w:rsidRPr="003737B2" w:rsidRDefault="00185520" w:rsidP="003737B2">
            <w:pPr>
              <w:jc w:val="center"/>
              <w:rPr>
                <w:b/>
                <w:bCs/>
                <w:sz w:val="24"/>
                <w:szCs w:val="24"/>
              </w:rPr>
            </w:pPr>
            <w:r w:rsidRPr="003737B2">
              <w:rPr>
                <w:b/>
                <w:bCs/>
                <w:sz w:val="24"/>
                <w:szCs w:val="24"/>
              </w:rPr>
              <w:t>1800</w:t>
            </w:r>
          </w:p>
        </w:tc>
        <w:tc>
          <w:tcPr>
            <w:tcW w:w="1333" w:type="dxa"/>
            <w:tcBorders>
              <w:top w:val="single" w:sz="4" w:space="0" w:color="auto"/>
              <w:left w:val="single" w:sz="4" w:space="0" w:color="auto"/>
              <w:bottom w:val="single" w:sz="4" w:space="0" w:color="auto"/>
              <w:right w:val="single" w:sz="4" w:space="0" w:color="auto"/>
            </w:tcBorders>
            <w:vAlign w:val="center"/>
          </w:tcPr>
          <w:p w:rsidR="00D67BE8" w:rsidRPr="003737B2" w:rsidRDefault="00185520" w:rsidP="003737B2">
            <w:pPr>
              <w:jc w:val="center"/>
              <w:rPr>
                <w:b/>
                <w:bCs/>
                <w:sz w:val="24"/>
                <w:szCs w:val="24"/>
              </w:rPr>
            </w:pPr>
            <w:r w:rsidRPr="003737B2">
              <w:rPr>
                <w:b/>
                <w:bCs/>
                <w:sz w:val="24"/>
                <w:szCs w:val="24"/>
              </w:rPr>
              <w:t>4200</w:t>
            </w:r>
          </w:p>
        </w:tc>
      </w:tr>
      <w:tr w:rsidR="00D67BE8" w:rsidTr="002D7E24">
        <w:trPr>
          <w:cantSplit/>
          <w:trHeight w:val="544"/>
          <w:jc w:val="center"/>
        </w:trPr>
        <w:tc>
          <w:tcPr>
            <w:tcW w:w="2730" w:type="dxa"/>
            <w:tcBorders>
              <w:top w:val="single" w:sz="4" w:space="0" w:color="auto"/>
              <w:left w:val="single" w:sz="6" w:space="0" w:color="auto"/>
              <w:bottom w:val="single" w:sz="4" w:space="0" w:color="auto"/>
              <w:right w:val="single" w:sz="4" w:space="0" w:color="auto"/>
            </w:tcBorders>
            <w:vAlign w:val="center"/>
          </w:tcPr>
          <w:p w:rsidR="00D67BE8" w:rsidRDefault="00EE050D">
            <w:r>
              <w:rPr>
                <w:rFonts w:hint="eastAsia"/>
              </w:rPr>
              <w:t>（</w:t>
            </w:r>
            <w:r>
              <w:rPr>
                <w:rFonts w:hint="eastAsia"/>
              </w:rPr>
              <w:t>2</w:t>
            </w:r>
            <w:r>
              <w:rPr>
                <w:rFonts w:hint="eastAsia"/>
              </w:rPr>
              <w:t>）能源动力费</w:t>
            </w:r>
          </w:p>
        </w:tc>
        <w:tc>
          <w:tcPr>
            <w:tcW w:w="1087"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2174"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r>
      <w:tr w:rsidR="00D67BE8" w:rsidTr="002D7E24">
        <w:trPr>
          <w:cantSplit/>
          <w:trHeight w:val="552"/>
          <w:jc w:val="center"/>
        </w:trPr>
        <w:tc>
          <w:tcPr>
            <w:tcW w:w="2730" w:type="dxa"/>
            <w:tcBorders>
              <w:top w:val="single" w:sz="4" w:space="0" w:color="auto"/>
              <w:left w:val="single" w:sz="6" w:space="0" w:color="auto"/>
              <w:bottom w:val="single" w:sz="4" w:space="0" w:color="auto"/>
              <w:right w:val="single" w:sz="4" w:space="0" w:color="auto"/>
            </w:tcBorders>
            <w:vAlign w:val="center"/>
          </w:tcPr>
          <w:p w:rsidR="00D67BE8" w:rsidRDefault="00EE050D">
            <w:r>
              <w:rPr>
                <w:rFonts w:hint="eastAsia"/>
              </w:rPr>
              <w:t>（</w:t>
            </w:r>
            <w:r>
              <w:rPr>
                <w:rFonts w:hint="eastAsia"/>
              </w:rPr>
              <w:t>3</w:t>
            </w:r>
            <w:r>
              <w:rPr>
                <w:rFonts w:hint="eastAsia"/>
              </w:rPr>
              <w:t>）会议、差旅费</w:t>
            </w:r>
          </w:p>
        </w:tc>
        <w:tc>
          <w:tcPr>
            <w:tcW w:w="1087"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2174"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r>
      <w:tr w:rsidR="00D67BE8" w:rsidTr="002D7E24">
        <w:trPr>
          <w:cantSplit/>
          <w:trHeight w:val="560"/>
          <w:jc w:val="center"/>
        </w:trPr>
        <w:tc>
          <w:tcPr>
            <w:tcW w:w="2730" w:type="dxa"/>
            <w:tcBorders>
              <w:top w:val="single" w:sz="4" w:space="0" w:color="auto"/>
              <w:left w:val="single" w:sz="6" w:space="0" w:color="auto"/>
              <w:bottom w:val="single" w:sz="4" w:space="0" w:color="auto"/>
              <w:right w:val="single" w:sz="4" w:space="0" w:color="auto"/>
            </w:tcBorders>
            <w:vAlign w:val="center"/>
          </w:tcPr>
          <w:p w:rsidR="00D67BE8" w:rsidRDefault="00EE050D">
            <w:r>
              <w:rPr>
                <w:rFonts w:hint="eastAsia"/>
              </w:rPr>
              <w:t>（</w:t>
            </w:r>
            <w:r>
              <w:rPr>
                <w:rFonts w:hint="eastAsia"/>
              </w:rPr>
              <w:t>4</w:t>
            </w:r>
            <w:r>
              <w:rPr>
                <w:rFonts w:hint="eastAsia"/>
              </w:rPr>
              <w:t>）文献检索费</w:t>
            </w:r>
          </w:p>
        </w:tc>
        <w:tc>
          <w:tcPr>
            <w:tcW w:w="1087"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2174"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r>
      <w:tr w:rsidR="00D67BE8" w:rsidTr="002D7E24">
        <w:trPr>
          <w:cantSplit/>
          <w:trHeight w:val="568"/>
          <w:jc w:val="center"/>
        </w:trPr>
        <w:tc>
          <w:tcPr>
            <w:tcW w:w="2730" w:type="dxa"/>
            <w:tcBorders>
              <w:top w:val="single" w:sz="4" w:space="0" w:color="auto"/>
              <w:left w:val="single" w:sz="6" w:space="0" w:color="auto"/>
              <w:bottom w:val="single" w:sz="4" w:space="0" w:color="auto"/>
              <w:right w:val="single" w:sz="4" w:space="0" w:color="auto"/>
            </w:tcBorders>
            <w:vAlign w:val="center"/>
          </w:tcPr>
          <w:p w:rsidR="00D67BE8" w:rsidRDefault="00EE050D">
            <w:r>
              <w:rPr>
                <w:rFonts w:hint="eastAsia"/>
              </w:rPr>
              <w:t>（</w:t>
            </w:r>
            <w:r>
              <w:rPr>
                <w:rFonts w:hint="eastAsia"/>
              </w:rPr>
              <w:t>5</w:t>
            </w:r>
            <w:r>
              <w:rPr>
                <w:rFonts w:hint="eastAsia"/>
              </w:rPr>
              <w:t>）论文出版费</w:t>
            </w:r>
          </w:p>
        </w:tc>
        <w:tc>
          <w:tcPr>
            <w:tcW w:w="1087"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2174"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r>
      <w:tr w:rsidR="00D67BE8" w:rsidTr="002D7E24">
        <w:trPr>
          <w:cantSplit/>
          <w:trHeight w:val="548"/>
          <w:jc w:val="center"/>
        </w:trPr>
        <w:tc>
          <w:tcPr>
            <w:tcW w:w="2730" w:type="dxa"/>
            <w:tcBorders>
              <w:top w:val="single" w:sz="4" w:space="0" w:color="auto"/>
              <w:left w:val="single" w:sz="6" w:space="0" w:color="auto"/>
              <w:bottom w:val="single" w:sz="4" w:space="0" w:color="auto"/>
              <w:right w:val="single" w:sz="4" w:space="0" w:color="auto"/>
            </w:tcBorders>
            <w:vAlign w:val="center"/>
          </w:tcPr>
          <w:p w:rsidR="00D67BE8" w:rsidRDefault="00EE050D">
            <w:r>
              <w:rPr>
                <w:rFonts w:hint="eastAsia"/>
              </w:rPr>
              <w:t xml:space="preserve">2. </w:t>
            </w:r>
            <w:r>
              <w:rPr>
                <w:rFonts w:hint="eastAsia"/>
              </w:rPr>
              <w:t>仪器设备购置费</w:t>
            </w:r>
          </w:p>
        </w:tc>
        <w:tc>
          <w:tcPr>
            <w:tcW w:w="1087"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2174"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r>
      <w:tr w:rsidR="00D67BE8" w:rsidTr="002D7E24">
        <w:trPr>
          <w:cantSplit/>
          <w:trHeight w:val="556"/>
          <w:jc w:val="center"/>
        </w:trPr>
        <w:tc>
          <w:tcPr>
            <w:tcW w:w="2730" w:type="dxa"/>
            <w:tcBorders>
              <w:top w:val="single" w:sz="4" w:space="0" w:color="auto"/>
              <w:left w:val="single" w:sz="6" w:space="0" w:color="auto"/>
              <w:bottom w:val="single" w:sz="4" w:space="0" w:color="auto"/>
              <w:right w:val="single" w:sz="4" w:space="0" w:color="auto"/>
            </w:tcBorders>
            <w:vAlign w:val="center"/>
          </w:tcPr>
          <w:p w:rsidR="00D67BE8" w:rsidRDefault="00EE050D">
            <w:r>
              <w:rPr>
                <w:rFonts w:hint="eastAsia"/>
              </w:rPr>
              <w:t xml:space="preserve">3. </w:t>
            </w:r>
            <w:r>
              <w:rPr>
                <w:rFonts w:hint="eastAsia"/>
              </w:rPr>
              <w:t>实验装置试制费</w:t>
            </w:r>
          </w:p>
        </w:tc>
        <w:tc>
          <w:tcPr>
            <w:tcW w:w="1087"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2174"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r>
      <w:tr w:rsidR="00D67BE8" w:rsidTr="002D7E24">
        <w:trPr>
          <w:cantSplit/>
          <w:trHeight w:val="834"/>
          <w:jc w:val="center"/>
        </w:trPr>
        <w:tc>
          <w:tcPr>
            <w:tcW w:w="2730" w:type="dxa"/>
            <w:tcBorders>
              <w:top w:val="single" w:sz="4" w:space="0" w:color="auto"/>
              <w:left w:val="single" w:sz="6" w:space="0" w:color="auto"/>
              <w:bottom w:val="single" w:sz="4" w:space="0" w:color="auto"/>
              <w:right w:val="single" w:sz="4" w:space="0" w:color="auto"/>
            </w:tcBorders>
            <w:vAlign w:val="center"/>
          </w:tcPr>
          <w:p w:rsidR="00D67BE8" w:rsidRDefault="00EE050D">
            <w:r>
              <w:rPr>
                <w:rFonts w:hint="eastAsia"/>
              </w:rPr>
              <w:t xml:space="preserve">4. </w:t>
            </w:r>
            <w:r>
              <w:rPr>
                <w:rFonts w:hint="eastAsia"/>
              </w:rPr>
              <w:t>材料费</w:t>
            </w:r>
          </w:p>
        </w:tc>
        <w:tc>
          <w:tcPr>
            <w:tcW w:w="1087" w:type="dxa"/>
            <w:tcBorders>
              <w:top w:val="single" w:sz="4" w:space="0" w:color="auto"/>
              <w:left w:val="single" w:sz="4" w:space="0" w:color="auto"/>
              <w:bottom w:val="single" w:sz="4" w:space="0" w:color="auto"/>
              <w:right w:val="single" w:sz="4" w:space="0" w:color="auto"/>
            </w:tcBorders>
            <w:vAlign w:val="center"/>
          </w:tcPr>
          <w:p w:rsidR="00D67BE8" w:rsidRPr="003737B2" w:rsidRDefault="00EE050D" w:rsidP="003737B2">
            <w:pPr>
              <w:jc w:val="center"/>
              <w:rPr>
                <w:b/>
                <w:bCs/>
                <w:sz w:val="24"/>
                <w:szCs w:val="24"/>
              </w:rPr>
            </w:pPr>
            <w:r w:rsidRPr="003737B2">
              <w:rPr>
                <w:b/>
                <w:bCs/>
                <w:sz w:val="24"/>
                <w:szCs w:val="24"/>
              </w:rPr>
              <w:t>4000</w:t>
            </w:r>
          </w:p>
        </w:tc>
        <w:tc>
          <w:tcPr>
            <w:tcW w:w="2174" w:type="dxa"/>
            <w:tcBorders>
              <w:top w:val="single" w:sz="4" w:space="0" w:color="auto"/>
              <w:left w:val="single" w:sz="4" w:space="0" w:color="auto"/>
              <w:bottom w:val="single" w:sz="4" w:space="0" w:color="auto"/>
              <w:right w:val="single" w:sz="4" w:space="0" w:color="auto"/>
            </w:tcBorders>
            <w:vAlign w:val="center"/>
          </w:tcPr>
          <w:p w:rsidR="00D67BE8" w:rsidRPr="003737B2" w:rsidRDefault="00EE050D" w:rsidP="003737B2">
            <w:pPr>
              <w:jc w:val="center"/>
              <w:rPr>
                <w:b/>
                <w:bCs/>
                <w:sz w:val="24"/>
                <w:szCs w:val="24"/>
              </w:rPr>
            </w:pPr>
            <w:r w:rsidRPr="003737B2">
              <w:rPr>
                <w:rFonts w:hint="eastAsia"/>
                <w:b/>
                <w:bCs/>
                <w:sz w:val="24"/>
                <w:szCs w:val="24"/>
              </w:rPr>
              <w:t>实验药品试剂、实验玻璃器皿等</w:t>
            </w:r>
          </w:p>
        </w:tc>
        <w:tc>
          <w:tcPr>
            <w:tcW w:w="1417" w:type="dxa"/>
            <w:tcBorders>
              <w:top w:val="single" w:sz="4" w:space="0" w:color="auto"/>
              <w:left w:val="single" w:sz="4" w:space="0" w:color="auto"/>
              <w:bottom w:val="single" w:sz="4" w:space="0" w:color="auto"/>
              <w:right w:val="single" w:sz="4" w:space="0" w:color="auto"/>
            </w:tcBorders>
            <w:vAlign w:val="center"/>
          </w:tcPr>
          <w:p w:rsidR="00D67BE8" w:rsidRPr="003737B2" w:rsidRDefault="00185520" w:rsidP="003737B2">
            <w:pPr>
              <w:jc w:val="center"/>
              <w:rPr>
                <w:b/>
                <w:bCs/>
                <w:sz w:val="24"/>
                <w:szCs w:val="24"/>
              </w:rPr>
            </w:pPr>
            <w:r w:rsidRPr="003737B2">
              <w:rPr>
                <w:b/>
                <w:bCs/>
                <w:sz w:val="24"/>
                <w:szCs w:val="24"/>
              </w:rPr>
              <w:t>1200</w:t>
            </w:r>
          </w:p>
        </w:tc>
        <w:tc>
          <w:tcPr>
            <w:tcW w:w="1333" w:type="dxa"/>
            <w:tcBorders>
              <w:top w:val="single" w:sz="4" w:space="0" w:color="auto"/>
              <w:left w:val="single" w:sz="4" w:space="0" w:color="auto"/>
              <w:bottom w:val="single" w:sz="4" w:space="0" w:color="auto"/>
              <w:right w:val="single" w:sz="4" w:space="0" w:color="auto"/>
            </w:tcBorders>
            <w:vAlign w:val="center"/>
          </w:tcPr>
          <w:p w:rsidR="00D67BE8" w:rsidRPr="003737B2" w:rsidRDefault="00185520" w:rsidP="003737B2">
            <w:pPr>
              <w:jc w:val="center"/>
              <w:rPr>
                <w:b/>
                <w:bCs/>
                <w:sz w:val="24"/>
                <w:szCs w:val="24"/>
              </w:rPr>
            </w:pPr>
            <w:r w:rsidRPr="003737B2">
              <w:rPr>
                <w:b/>
                <w:bCs/>
                <w:sz w:val="24"/>
                <w:szCs w:val="24"/>
              </w:rPr>
              <w:t>2800</w:t>
            </w:r>
          </w:p>
        </w:tc>
      </w:tr>
      <w:tr w:rsidR="00D67BE8" w:rsidTr="002D7E24">
        <w:trPr>
          <w:cantSplit/>
          <w:trHeight w:val="631"/>
          <w:jc w:val="center"/>
        </w:trPr>
        <w:tc>
          <w:tcPr>
            <w:tcW w:w="2730" w:type="dxa"/>
            <w:tcBorders>
              <w:top w:val="single" w:sz="4" w:space="0" w:color="auto"/>
              <w:left w:val="single" w:sz="6" w:space="0" w:color="auto"/>
              <w:bottom w:val="single" w:sz="4" w:space="0" w:color="auto"/>
              <w:right w:val="single" w:sz="4" w:space="0" w:color="auto"/>
            </w:tcBorders>
            <w:vAlign w:val="center"/>
          </w:tcPr>
          <w:p w:rsidR="00D67BE8" w:rsidRDefault="00EE050D">
            <w:pPr>
              <w:rPr>
                <w:rFonts w:eastAsia="仿宋_GB2312"/>
              </w:rPr>
            </w:pPr>
            <w:r>
              <w:rPr>
                <w:rFonts w:asciiTheme="majorEastAsia" w:eastAsiaTheme="majorEastAsia" w:hAnsiTheme="majorEastAsia" w:cstheme="majorEastAsia" w:hint="eastAsia"/>
              </w:rPr>
              <w:t>学校批准经费</w:t>
            </w:r>
          </w:p>
        </w:tc>
        <w:tc>
          <w:tcPr>
            <w:tcW w:w="1087" w:type="dxa"/>
            <w:tcBorders>
              <w:top w:val="single" w:sz="4" w:space="0" w:color="auto"/>
              <w:left w:val="single" w:sz="4" w:space="0" w:color="auto"/>
              <w:bottom w:val="single" w:sz="4" w:space="0" w:color="auto"/>
              <w:right w:val="single" w:sz="4" w:space="0" w:color="auto"/>
            </w:tcBorders>
            <w:vAlign w:val="center"/>
          </w:tcPr>
          <w:p w:rsidR="00D67BE8" w:rsidRPr="003737B2" w:rsidRDefault="00EE050D" w:rsidP="003737B2">
            <w:pPr>
              <w:jc w:val="center"/>
              <w:rPr>
                <w:b/>
                <w:bCs/>
                <w:sz w:val="24"/>
                <w:szCs w:val="24"/>
              </w:rPr>
            </w:pPr>
            <w:r w:rsidRPr="003737B2">
              <w:rPr>
                <w:rFonts w:hint="eastAsia"/>
                <w:b/>
                <w:bCs/>
                <w:sz w:val="24"/>
                <w:szCs w:val="24"/>
              </w:rPr>
              <w:t>1</w:t>
            </w:r>
            <w:r w:rsidRPr="003737B2">
              <w:rPr>
                <w:b/>
                <w:bCs/>
                <w:sz w:val="24"/>
                <w:szCs w:val="24"/>
              </w:rPr>
              <w:t>0000</w:t>
            </w:r>
          </w:p>
        </w:tc>
        <w:tc>
          <w:tcPr>
            <w:tcW w:w="2174" w:type="dxa"/>
            <w:tcBorders>
              <w:top w:val="single" w:sz="4" w:space="0" w:color="auto"/>
              <w:left w:val="single" w:sz="4" w:space="0" w:color="auto"/>
              <w:bottom w:val="single" w:sz="4" w:space="0" w:color="auto"/>
              <w:right w:val="single" w:sz="4" w:space="0" w:color="auto"/>
            </w:tcBorders>
            <w:vAlign w:val="center"/>
          </w:tcPr>
          <w:p w:rsidR="00D67BE8" w:rsidRPr="003737B2" w:rsidRDefault="00D67BE8" w:rsidP="003737B2">
            <w:pPr>
              <w:jc w:val="center"/>
              <w:rPr>
                <w:b/>
                <w:bCs/>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D67BE8" w:rsidRPr="003737B2" w:rsidRDefault="00EE050D" w:rsidP="003737B2">
            <w:pPr>
              <w:jc w:val="center"/>
              <w:rPr>
                <w:b/>
                <w:bCs/>
                <w:sz w:val="24"/>
                <w:szCs w:val="24"/>
              </w:rPr>
            </w:pPr>
            <w:r w:rsidRPr="003737B2">
              <w:rPr>
                <w:rFonts w:hint="eastAsia"/>
                <w:b/>
                <w:bCs/>
                <w:sz w:val="24"/>
                <w:szCs w:val="24"/>
              </w:rPr>
              <w:t>3</w:t>
            </w:r>
            <w:r w:rsidRPr="003737B2">
              <w:rPr>
                <w:b/>
                <w:bCs/>
                <w:sz w:val="24"/>
                <w:szCs w:val="24"/>
              </w:rPr>
              <w:t>000</w:t>
            </w:r>
          </w:p>
        </w:tc>
        <w:tc>
          <w:tcPr>
            <w:tcW w:w="1333" w:type="dxa"/>
            <w:tcBorders>
              <w:top w:val="single" w:sz="4" w:space="0" w:color="auto"/>
              <w:left w:val="single" w:sz="4" w:space="0" w:color="auto"/>
              <w:bottom w:val="single" w:sz="4" w:space="0" w:color="auto"/>
              <w:right w:val="single" w:sz="4" w:space="0" w:color="auto"/>
            </w:tcBorders>
            <w:vAlign w:val="center"/>
          </w:tcPr>
          <w:p w:rsidR="00D67BE8" w:rsidRPr="003737B2" w:rsidRDefault="00EE050D" w:rsidP="003737B2">
            <w:pPr>
              <w:jc w:val="center"/>
              <w:rPr>
                <w:b/>
                <w:bCs/>
                <w:sz w:val="24"/>
                <w:szCs w:val="24"/>
              </w:rPr>
            </w:pPr>
            <w:r w:rsidRPr="003737B2">
              <w:rPr>
                <w:rFonts w:hint="eastAsia"/>
                <w:b/>
                <w:bCs/>
                <w:sz w:val="24"/>
                <w:szCs w:val="24"/>
              </w:rPr>
              <w:t>7</w:t>
            </w:r>
            <w:r w:rsidRPr="003737B2">
              <w:rPr>
                <w:b/>
                <w:bCs/>
                <w:sz w:val="24"/>
                <w:szCs w:val="24"/>
              </w:rPr>
              <w:t>000</w:t>
            </w:r>
          </w:p>
        </w:tc>
      </w:tr>
    </w:tbl>
    <w:p w:rsidR="00D67BE8" w:rsidRDefault="00EE050D">
      <w:pPr>
        <w:numPr>
          <w:ilvl w:val="1"/>
          <w:numId w:val="2"/>
        </w:numPr>
        <w:tabs>
          <w:tab w:val="clear" w:pos="1532"/>
          <w:tab w:val="left" w:pos="720"/>
        </w:tabs>
        <w:spacing w:beforeLines="50" w:before="156" w:afterLines="50" w:after="156" w:line="300" w:lineRule="auto"/>
        <w:ind w:left="0" w:right="567" w:firstLine="0"/>
        <w:rPr>
          <w:rFonts w:eastAsia="黑体"/>
          <w:bCs/>
          <w:sz w:val="28"/>
        </w:rPr>
      </w:pPr>
      <w:r>
        <w:rPr>
          <w:rFonts w:eastAsia="黑体" w:hint="eastAsia"/>
          <w:bCs/>
          <w:sz w:val="28"/>
        </w:rPr>
        <w:t>指导教师意见</w:t>
      </w:r>
    </w:p>
    <w:tbl>
      <w:tblPr>
        <w:tblW w:w="8542"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42"/>
      </w:tblGrid>
      <w:tr w:rsidR="00D67BE8" w:rsidTr="002D7E24">
        <w:trPr>
          <w:trHeight w:hRule="exact" w:val="4674"/>
          <w:jc w:val="center"/>
        </w:trPr>
        <w:tc>
          <w:tcPr>
            <w:tcW w:w="8542" w:type="dxa"/>
            <w:tcBorders>
              <w:top w:val="single" w:sz="4" w:space="0" w:color="auto"/>
              <w:left w:val="single" w:sz="4" w:space="0" w:color="auto"/>
              <w:bottom w:val="single" w:sz="4" w:space="0" w:color="auto"/>
              <w:right w:val="single" w:sz="4" w:space="0" w:color="auto"/>
            </w:tcBorders>
          </w:tcPr>
          <w:p w:rsidR="00D67BE8" w:rsidRDefault="00D67BE8">
            <w:pPr>
              <w:rPr>
                <w:rFonts w:ascii="仿宋_GB2312" w:eastAsia="仿宋_GB2312"/>
                <w:sz w:val="24"/>
              </w:rPr>
            </w:pPr>
          </w:p>
          <w:p w:rsidR="00D67BE8" w:rsidRDefault="00EE050D">
            <w:pPr>
              <w:spacing w:line="360" w:lineRule="auto"/>
              <w:ind w:firstLineChars="200" w:firstLine="480"/>
              <w:rPr>
                <w:rFonts w:ascii="宋体" w:hAnsi="宋体"/>
                <w:sz w:val="24"/>
                <w:szCs w:val="24"/>
              </w:rPr>
            </w:pPr>
            <w:r>
              <w:rPr>
                <w:rFonts w:ascii="宋体" w:hAnsi="宋体" w:hint="eastAsia"/>
                <w:sz w:val="24"/>
                <w:szCs w:val="24"/>
              </w:rPr>
              <w:t>本项目将</w:t>
            </w:r>
            <w:r>
              <w:rPr>
                <w:rFonts w:ascii="Times New Roman" w:hAnsi="Times New Roman"/>
                <w:sz w:val="24"/>
                <w:szCs w:val="24"/>
              </w:rPr>
              <w:t>VOCs</w:t>
            </w:r>
            <w:r>
              <w:rPr>
                <w:rFonts w:ascii="宋体" w:hAnsi="宋体" w:hint="eastAsia"/>
                <w:sz w:val="24"/>
                <w:szCs w:val="24"/>
              </w:rPr>
              <w:t>催化氧化反应与氨选择性催化还原</w:t>
            </w:r>
            <w:r>
              <w:rPr>
                <w:rFonts w:ascii="Times New Roman" w:hAnsi="Times New Roman"/>
                <w:sz w:val="24"/>
                <w:szCs w:val="24"/>
              </w:rPr>
              <w:t>NO</w:t>
            </w:r>
            <w:r>
              <w:rPr>
                <w:rFonts w:ascii="宋体" w:hAnsi="宋体" w:hint="eastAsia"/>
                <w:sz w:val="24"/>
                <w:szCs w:val="24"/>
              </w:rPr>
              <w:t>反应集成在</w:t>
            </w:r>
            <w:r>
              <w:rPr>
                <w:rFonts w:ascii="Times New Roman" w:hAnsi="Times New Roman"/>
                <w:sz w:val="24"/>
                <w:szCs w:val="24"/>
              </w:rPr>
              <w:t>SCR</w:t>
            </w:r>
            <w:r>
              <w:rPr>
                <w:rFonts w:ascii="宋体" w:hAnsi="宋体" w:hint="eastAsia"/>
                <w:sz w:val="24"/>
                <w:szCs w:val="24"/>
              </w:rPr>
              <w:t>系统中。将氨选择性催化还原</w:t>
            </w:r>
            <w:r>
              <w:rPr>
                <w:rFonts w:ascii="Times New Roman" w:hAnsi="Times New Roman"/>
                <w:sz w:val="24"/>
                <w:szCs w:val="24"/>
              </w:rPr>
              <w:t>NO</w:t>
            </w:r>
            <w:r>
              <w:rPr>
                <w:rFonts w:ascii="宋体" w:hAnsi="宋体" w:hint="eastAsia"/>
                <w:sz w:val="24"/>
                <w:szCs w:val="24"/>
              </w:rPr>
              <w:t>反应、</w:t>
            </w:r>
            <w:r>
              <w:rPr>
                <w:rFonts w:ascii="Times New Roman" w:hAnsi="Times New Roman"/>
                <w:sz w:val="24"/>
                <w:szCs w:val="24"/>
              </w:rPr>
              <w:t>VOCs</w:t>
            </w:r>
            <w:r>
              <w:rPr>
                <w:rFonts w:ascii="宋体" w:hAnsi="宋体" w:hint="eastAsia"/>
                <w:sz w:val="24"/>
                <w:szCs w:val="24"/>
              </w:rPr>
              <w:t>氧化反应两个不同原理的反应过程集成在</w:t>
            </w:r>
            <w:r>
              <w:rPr>
                <w:rFonts w:ascii="Times New Roman" w:hAnsi="Times New Roman"/>
                <w:sz w:val="24"/>
                <w:szCs w:val="24"/>
              </w:rPr>
              <w:t>SCR</w:t>
            </w:r>
            <w:r>
              <w:rPr>
                <w:rFonts w:ascii="宋体" w:hAnsi="宋体" w:hint="eastAsia"/>
                <w:sz w:val="24"/>
                <w:szCs w:val="24"/>
              </w:rPr>
              <w:t>系统中，在不影响脱硝效率的同时提高</w:t>
            </w:r>
            <w:r>
              <w:rPr>
                <w:rFonts w:ascii="Times New Roman" w:hAnsi="Times New Roman"/>
                <w:sz w:val="24"/>
                <w:szCs w:val="24"/>
              </w:rPr>
              <w:t>VOCs</w:t>
            </w:r>
            <w:r>
              <w:rPr>
                <w:rFonts w:ascii="宋体" w:hAnsi="宋体" w:hint="eastAsia"/>
                <w:sz w:val="24"/>
                <w:szCs w:val="24"/>
              </w:rPr>
              <w:t>的氧化效率，实现低温条件下高效协同控制</w:t>
            </w:r>
            <w:r>
              <w:rPr>
                <w:rFonts w:ascii="Times New Roman" w:hAnsi="Times New Roman"/>
                <w:sz w:val="24"/>
                <w:szCs w:val="24"/>
              </w:rPr>
              <w:t>VOCs</w:t>
            </w:r>
            <w:r>
              <w:rPr>
                <w:rFonts w:ascii="宋体" w:hAnsi="宋体" w:hint="eastAsia"/>
                <w:sz w:val="24"/>
                <w:szCs w:val="24"/>
              </w:rPr>
              <w:t>的优化集成，降低成本，具有较好的创新性和应用价值。</w:t>
            </w:r>
          </w:p>
          <w:p w:rsidR="00D67BE8" w:rsidRDefault="00EE050D">
            <w:pPr>
              <w:spacing w:line="360" w:lineRule="auto"/>
              <w:ind w:firstLineChars="200" w:firstLine="480"/>
              <w:rPr>
                <w:rFonts w:ascii="宋体" w:hAnsi="宋体"/>
                <w:sz w:val="24"/>
                <w:szCs w:val="24"/>
              </w:rPr>
            </w:pPr>
            <w:r>
              <w:rPr>
                <w:rFonts w:ascii="宋体" w:hAnsi="宋体" w:hint="eastAsia"/>
                <w:sz w:val="24"/>
                <w:szCs w:val="24"/>
              </w:rPr>
              <w:t>同意推荐该项目立项。</w:t>
            </w:r>
          </w:p>
          <w:p w:rsidR="00D67BE8" w:rsidRDefault="00D67BE8">
            <w:pPr>
              <w:spacing w:line="360" w:lineRule="auto"/>
              <w:rPr>
                <w:rFonts w:ascii="仿宋_GB2312" w:eastAsia="仿宋_GB2312"/>
                <w:sz w:val="24"/>
              </w:rPr>
            </w:pPr>
          </w:p>
          <w:p w:rsidR="00185520" w:rsidRDefault="00185520">
            <w:pPr>
              <w:spacing w:line="360" w:lineRule="auto"/>
              <w:rPr>
                <w:rFonts w:ascii="仿宋_GB2312" w:eastAsia="仿宋_GB2312"/>
                <w:sz w:val="24"/>
              </w:rPr>
            </w:pPr>
          </w:p>
          <w:p w:rsidR="00D67BE8" w:rsidRDefault="00EE050D">
            <w:pPr>
              <w:spacing w:line="360" w:lineRule="auto"/>
              <w:ind w:firstLineChars="2600" w:firstLine="6264"/>
              <w:rPr>
                <w:rFonts w:ascii="仿宋_GB2312" w:eastAsia="仿宋_GB2312"/>
                <w:b/>
                <w:sz w:val="24"/>
              </w:rPr>
            </w:pPr>
            <w:r>
              <w:rPr>
                <w:rFonts w:ascii="仿宋_GB2312" w:eastAsia="仿宋_GB2312" w:hint="eastAsia"/>
                <w:b/>
                <w:sz w:val="24"/>
              </w:rPr>
              <w:t>导师（签章）：</w:t>
            </w:r>
          </w:p>
          <w:p w:rsidR="00D67BE8" w:rsidRDefault="00EE050D">
            <w:pPr>
              <w:spacing w:line="360" w:lineRule="auto"/>
              <w:ind w:firstLineChars="2639" w:firstLine="6358"/>
              <w:rPr>
                <w:rFonts w:ascii="仿宋_GB2312" w:eastAsia="仿宋_GB2312"/>
                <w:b/>
                <w:sz w:val="24"/>
              </w:rPr>
            </w:pPr>
            <w:r>
              <w:rPr>
                <w:rFonts w:ascii="仿宋_GB2312" w:eastAsia="仿宋_GB2312" w:hint="eastAsia"/>
                <w:b/>
                <w:sz w:val="24"/>
              </w:rPr>
              <w:t>年  月   日</w:t>
            </w:r>
          </w:p>
        </w:tc>
      </w:tr>
    </w:tbl>
    <w:p w:rsidR="00D67BE8" w:rsidRDefault="00EE050D">
      <w:pPr>
        <w:numPr>
          <w:ilvl w:val="1"/>
          <w:numId w:val="2"/>
        </w:numPr>
        <w:tabs>
          <w:tab w:val="clear" w:pos="1532"/>
          <w:tab w:val="left" w:pos="720"/>
        </w:tabs>
        <w:spacing w:beforeLines="50" w:before="156" w:afterLines="50" w:after="156" w:line="300" w:lineRule="auto"/>
        <w:ind w:left="0" w:right="567" w:firstLine="0"/>
        <w:rPr>
          <w:rFonts w:eastAsia="黑体"/>
          <w:bCs/>
          <w:sz w:val="28"/>
        </w:rPr>
      </w:pPr>
      <w:r>
        <w:rPr>
          <w:rFonts w:eastAsia="黑体" w:hint="eastAsia"/>
          <w:bCs/>
          <w:sz w:val="28"/>
        </w:rPr>
        <w:lastRenderedPageBreak/>
        <w:t>院系大学生创新创业训练计划专家组意见</w:t>
      </w:r>
      <w:r>
        <w:rPr>
          <w:rFonts w:eastAsia="黑体"/>
          <w:bCs/>
          <w:sz w:val="28"/>
        </w:rPr>
        <w:t xml:space="preserve"> </w:t>
      </w:r>
    </w:p>
    <w:tbl>
      <w:tblPr>
        <w:tblW w:w="8505"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D67BE8" w:rsidTr="002D7E24">
        <w:trPr>
          <w:trHeight w:val="3666"/>
          <w:jc w:val="center"/>
        </w:trPr>
        <w:tc>
          <w:tcPr>
            <w:tcW w:w="8505" w:type="dxa"/>
            <w:tcBorders>
              <w:top w:val="single" w:sz="4" w:space="0" w:color="auto"/>
              <w:left w:val="single" w:sz="4" w:space="0" w:color="auto"/>
              <w:bottom w:val="single" w:sz="4" w:space="0" w:color="auto"/>
              <w:right w:val="single" w:sz="4" w:space="0" w:color="auto"/>
            </w:tcBorders>
          </w:tcPr>
          <w:p w:rsidR="00D67BE8" w:rsidRDefault="00D67BE8">
            <w:pPr>
              <w:rPr>
                <w:rFonts w:ascii="仿宋_GB2312" w:eastAsia="仿宋_GB2312"/>
                <w:sz w:val="24"/>
              </w:rPr>
            </w:pPr>
          </w:p>
          <w:p w:rsidR="00D67BE8" w:rsidRDefault="00EE050D" w:rsidP="002D7E24">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同意推荐校级项目。</w:t>
            </w:r>
          </w:p>
          <w:p w:rsidR="00D67BE8" w:rsidRDefault="00D67BE8">
            <w:pPr>
              <w:spacing w:line="360" w:lineRule="auto"/>
              <w:rPr>
                <w:rFonts w:ascii="仿宋_GB2312" w:eastAsia="仿宋_GB2312"/>
                <w:sz w:val="24"/>
              </w:rPr>
            </w:pPr>
          </w:p>
          <w:p w:rsidR="00D67BE8" w:rsidRDefault="00D67BE8">
            <w:pPr>
              <w:spacing w:line="360" w:lineRule="auto"/>
              <w:rPr>
                <w:rFonts w:ascii="仿宋_GB2312" w:eastAsia="仿宋_GB2312"/>
                <w:sz w:val="24"/>
              </w:rPr>
            </w:pPr>
          </w:p>
          <w:p w:rsidR="002D7E24" w:rsidRDefault="002D7E24">
            <w:pPr>
              <w:spacing w:line="360" w:lineRule="auto"/>
              <w:rPr>
                <w:rFonts w:ascii="仿宋_GB2312" w:eastAsia="仿宋_GB2312"/>
                <w:sz w:val="24"/>
              </w:rPr>
            </w:pPr>
          </w:p>
          <w:p w:rsidR="00D67BE8" w:rsidRDefault="00EE050D">
            <w:pPr>
              <w:spacing w:line="360" w:lineRule="auto"/>
              <w:rPr>
                <w:rFonts w:ascii="仿宋_GB2312" w:eastAsia="仿宋_GB2312"/>
                <w:sz w:val="24"/>
              </w:rPr>
            </w:pPr>
            <w:r>
              <w:rPr>
                <w:rFonts w:ascii="仿宋_GB2312" w:eastAsia="仿宋_GB2312" w:hint="eastAsia"/>
                <w:sz w:val="24"/>
              </w:rPr>
              <w:t xml:space="preserve">                                     </w:t>
            </w:r>
          </w:p>
          <w:p w:rsidR="00D67BE8" w:rsidRDefault="00EE050D">
            <w:pPr>
              <w:spacing w:line="360" w:lineRule="auto"/>
              <w:ind w:firstLineChars="2400" w:firstLine="5783"/>
              <w:rPr>
                <w:rFonts w:ascii="仿宋_GB2312" w:eastAsia="仿宋_GB2312"/>
                <w:b/>
                <w:sz w:val="24"/>
              </w:rPr>
            </w:pPr>
            <w:r>
              <w:rPr>
                <w:rFonts w:ascii="仿宋_GB2312" w:eastAsia="仿宋_GB2312" w:hint="eastAsia"/>
                <w:b/>
                <w:sz w:val="24"/>
              </w:rPr>
              <w:t>专家组组长（签章）：</w:t>
            </w:r>
          </w:p>
          <w:p w:rsidR="00D67BE8" w:rsidRDefault="00EE050D">
            <w:pPr>
              <w:ind w:firstLineChars="2605" w:firstLine="6276"/>
              <w:rPr>
                <w:rFonts w:eastAsia="楷体"/>
              </w:rPr>
            </w:pPr>
            <w:r>
              <w:rPr>
                <w:rFonts w:ascii="仿宋_GB2312" w:eastAsia="仿宋_GB2312" w:hint="eastAsia"/>
                <w:b/>
                <w:sz w:val="24"/>
              </w:rPr>
              <w:t>年  月   日</w:t>
            </w:r>
          </w:p>
        </w:tc>
      </w:tr>
    </w:tbl>
    <w:p w:rsidR="00D67BE8" w:rsidRDefault="00EE050D">
      <w:pPr>
        <w:numPr>
          <w:ilvl w:val="1"/>
          <w:numId w:val="2"/>
        </w:numPr>
        <w:tabs>
          <w:tab w:val="clear" w:pos="1532"/>
          <w:tab w:val="left" w:pos="720"/>
        </w:tabs>
        <w:spacing w:beforeLines="50" w:before="156" w:afterLines="50" w:after="156" w:line="300" w:lineRule="auto"/>
        <w:ind w:left="0" w:right="567" w:firstLine="0"/>
        <w:rPr>
          <w:rFonts w:eastAsia="黑体"/>
          <w:bCs/>
          <w:sz w:val="28"/>
        </w:rPr>
      </w:pPr>
      <w:r>
        <w:rPr>
          <w:rFonts w:eastAsia="黑体" w:hint="eastAsia"/>
          <w:bCs/>
          <w:sz w:val="28"/>
        </w:rPr>
        <w:t>学校大学生创新创业训练计划专家组意见</w:t>
      </w:r>
      <w:r>
        <w:rPr>
          <w:rFonts w:eastAsia="黑体" w:hint="eastAsia"/>
          <w:bCs/>
          <w:sz w:val="28"/>
        </w:rPr>
        <w:t xml:space="preserve"> </w:t>
      </w:r>
    </w:p>
    <w:tbl>
      <w:tblPr>
        <w:tblW w:w="8505"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D67BE8" w:rsidTr="002D7E24">
        <w:trPr>
          <w:trHeight w:val="3654"/>
          <w:jc w:val="center"/>
        </w:trPr>
        <w:tc>
          <w:tcPr>
            <w:tcW w:w="8505" w:type="dxa"/>
            <w:tcBorders>
              <w:top w:val="single" w:sz="4" w:space="0" w:color="auto"/>
              <w:left w:val="single" w:sz="4" w:space="0" w:color="auto"/>
              <w:bottom w:val="single" w:sz="4" w:space="0" w:color="auto"/>
              <w:right w:val="single" w:sz="4" w:space="0" w:color="auto"/>
            </w:tcBorders>
          </w:tcPr>
          <w:p w:rsidR="00D67BE8" w:rsidRDefault="00D67BE8">
            <w:pPr>
              <w:rPr>
                <w:rFonts w:ascii="仿宋_GB2312" w:eastAsia="仿宋_GB2312"/>
                <w:sz w:val="24"/>
              </w:rPr>
            </w:pPr>
          </w:p>
          <w:p w:rsidR="00D67BE8" w:rsidRDefault="00EE050D" w:rsidP="002D7E24">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同意推荐省级项目。</w:t>
            </w:r>
          </w:p>
          <w:p w:rsidR="00D67BE8" w:rsidRDefault="00D67BE8">
            <w:pPr>
              <w:spacing w:line="360" w:lineRule="auto"/>
              <w:rPr>
                <w:rFonts w:ascii="仿宋_GB2312" w:eastAsia="仿宋_GB2312"/>
                <w:sz w:val="24"/>
              </w:rPr>
            </w:pPr>
          </w:p>
          <w:p w:rsidR="00D67BE8" w:rsidRDefault="00EE050D">
            <w:pPr>
              <w:spacing w:line="360" w:lineRule="auto"/>
              <w:rPr>
                <w:rFonts w:ascii="仿宋_GB2312" w:eastAsia="仿宋_GB2312"/>
                <w:sz w:val="24"/>
              </w:rPr>
            </w:pPr>
            <w:r>
              <w:rPr>
                <w:rFonts w:ascii="仿宋_GB2312" w:eastAsia="仿宋_GB2312" w:hint="eastAsia"/>
                <w:sz w:val="24"/>
              </w:rPr>
              <w:t xml:space="preserve">                                    </w:t>
            </w:r>
          </w:p>
          <w:p w:rsidR="00D67BE8" w:rsidRDefault="00D67BE8">
            <w:pPr>
              <w:spacing w:line="360" w:lineRule="auto"/>
              <w:rPr>
                <w:rFonts w:ascii="仿宋_GB2312" w:eastAsia="仿宋_GB2312"/>
                <w:sz w:val="24"/>
              </w:rPr>
            </w:pPr>
          </w:p>
          <w:p w:rsidR="00D67BE8" w:rsidRDefault="00D67BE8">
            <w:pPr>
              <w:spacing w:line="360" w:lineRule="auto"/>
              <w:rPr>
                <w:rFonts w:ascii="仿宋_GB2312" w:eastAsia="仿宋_GB2312"/>
                <w:sz w:val="24"/>
              </w:rPr>
            </w:pPr>
          </w:p>
          <w:p w:rsidR="00D67BE8" w:rsidRDefault="00EE050D">
            <w:pPr>
              <w:spacing w:line="360" w:lineRule="auto"/>
              <w:ind w:firstLineChars="2300" w:firstLine="5542"/>
              <w:rPr>
                <w:rFonts w:ascii="仿宋_GB2312" w:eastAsia="仿宋_GB2312"/>
                <w:b/>
                <w:sz w:val="24"/>
              </w:rPr>
            </w:pPr>
            <w:r>
              <w:rPr>
                <w:rFonts w:ascii="仿宋_GB2312" w:eastAsia="仿宋_GB2312" w:hint="eastAsia"/>
                <w:b/>
                <w:sz w:val="24"/>
              </w:rPr>
              <w:t>负责人（签章）：</w:t>
            </w:r>
          </w:p>
          <w:p w:rsidR="00D67BE8" w:rsidRDefault="00EE050D">
            <w:pPr>
              <w:spacing w:line="360" w:lineRule="auto"/>
              <w:ind w:firstLineChars="2495" w:firstLine="6011"/>
              <w:rPr>
                <w:rFonts w:ascii="仿宋_GB2312" w:eastAsia="仿宋_GB2312"/>
                <w:b/>
                <w:sz w:val="24"/>
              </w:rPr>
            </w:pPr>
            <w:r>
              <w:rPr>
                <w:rFonts w:ascii="仿宋_GB2312" w:eastAsia="仿宋_GB2312" w:hint="eastAsia"/>
                <w:b/>
                <w:sz w:val="24"/>
              </w:rPr>
              <w:t>年  月   日</w:t>
            </w:r>
          </w:p>
        </w:tc>
      </w:tr>
    </w:tbl>
    <w:p w:rsidR="00D67BE8" w:rsidRDefault="00EE050D">
      <w:pPr>
        <w:numPr>
          <w:ilvl w:val="1"/>
          <w:numId w:val="2"/>
        </w:numPr>
        <w:tabs>
          <w:tab w:val="clear" w:pos="1532"/>
          <w:tab w:val="left" w:pos="720"/>
        </w:tabs>
        <w:spacing w:beforeLines="50" w:before="156" w:afterLines="50" w:after="156" w:line="300" w:lineRule="auto"/>
        <w:ind w:left="0" w:right="567" w:firstLine="0"/>
        <w:rPr>
          <w:rFonts w:eastAsia="黑体"/>
          <w:bCs/>
          <w:sz w:val="28"/>
        </w:rPr>
      </w:pPr>
      <w:r>
        <w:rPr>
          <w:rFonts w:eastAsia="黑体" w:hint="eastAsia"/>
          <w:bCs/>
          <w:sz w:val="28"/>
        </w:rPr>
        <w:t>大学生创新创业训练计划领导小组审批意见</w:t>
      </w:r>
    </w:p>
    <w:tbl>
      <w:tblPr>
        <w:tblW w:w="8505"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D67BE8" w:rsidTr="002D7E24">
        <w:trPr>
          <w:trHeight w:hRule="exact" w:val="3584"/>
          <w:jc w:val="center"/>
        </w:trPr>
        <w:tc>
          <w:tcPr>
            <w:tcW w:w="8505" w:type="dxa"/>
            <w:tcBorders>
              <w:top w:val="single" w:sz="4" w:space="0" w:color="auto"/>
              <w:left w:val="single" w:sz="4" w:space="0" w:color="auto"/>
              <w:bottom w:val="single" w:sz="4" w:space="0" w:color="auto"/>
              <w:right w:val="single" w:sz="4" w:space="0" w:color="auto"/>
            </w:tcBorders>
          </w:tcPr>
          <w:p w:rsidR="00D67BE8" w:rsidRDefault="00D67BE8">
            <w:pPr>
              <w:rPr>
                <w:rFonts w:ascii="仿宋_GB2312" w:eastAsia="仿宋_GB2312"/>
                <w:sz w:val="24"/>
              </w:rPr>
            </w:pPr>
          </w:p>
          <w:p w:rsidR="00D67BE8" w:rsidRDefault="00EE050D" w:rsidP="002D7E24">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同意。</w:t>
            </w:r>
          </w:p>
          <w:p w:rsidR="00D67BE8" w:rsidRDefault="00D67BE8" w:rsidP="002D7E24">
            <w:pPr>
              <w:snapToGrid w:val="0"/>
              <w:rPr>
                <w:rFonts w:ascii="仿宋_GB2312" w:eastAsia="仿宋_GB2312"/>
                <w:sz w:val="24"/>
              </w:rPr>
            </w:pPr>
          </w:p>
          <w:p w:rsidR="00D67BE8" w:rsidRDefault="00EE050D">
            <w:pPr>
              <w:spacing w:line="360" w:lineRule="auto"/>
              <w:rPr>
                <w:rFonts w:ascii="仿宋_GB2312" w:eastAsia="仿宋_GB2312"/>
                <w:sz w:val="24"/>
              </w:rPr>
            </w:pPr>
            <w:r>
              <w:rPr>
                <w:rFonts w:ascii="仿宋_GB2312" w:eastAsia="仿宋_GB2312" w:hint="eastAsia"/>
                <w:sz w:val="24"/>
              </w:rPr>
              <w:t xml:space="preserve">                                    </w:t>
            </w:r>
          </w:p>
          <w:p w:rsidR="00D67BE8" w:rsidRDefault="00D67BE8">
            <w:pPr>
              <w:spacing w:line="360" w:lineRule="auto"/>
              <w:rPr>
                <w:rFonts w:ascii="仿宋_GB2312" w:eastAsia="仿宋_GB2312"/>
                <w:sz w:val="24"/>
              </w:rPr>
            </w:pPr>
          </w:p>
          <w:p w:rsidR="002D7E24" w:rsidRDefault="002D7E24">
            <w:pPr>
              <w:spacing w:line="360" w:lineRule="auto"/>
              <w:rPr>
                <w:rFonts w:ascii="仿宋_GB2312" w:eastAsia="仿宋_GB2312"/>
                <w:sz w:val="24"/>
              </w:rPr>
            </w:pPr>
          </w:p>
          <w:p w:rsidR="00D67BE8" w:rsidRDefault="00EE050D">
            <w:pPr>
              <w:spacing w:line="360" w:lineRule="auto"/>
              <w:ind w:firstLineChars="2400" w:firstLine="5783"/>
              <w:rPr>
                <w:rFonts w:ascii="仿宋_GB2312" w:eastAsia="仿宋_GB2312"/>
                <w:b/>
                <w:sz w:val="24"/>
              </w:rPr>
            </w:pPr>
            <w:r>
              <w:rPr>
                <w:rFonts w:ascii="仿宋_GB2312" w:eastAsia="仿宋_GB2312" w:hint="eastAsia"/>
                <w:b/>
                <w:sz w:val="24"/>
              </w:rPr>
              <w:t>负责人（签章）：</w:t>
            </w:r>
          </w:p>
          <w:p w:rsidR="00D67BE8" w:rsidRDefault="00EE050D">
            <w:pPr>
              <w:spacing w:line="360" w:lineRule="auto"/>
              <w:ind w:firstLineChars="2552" w:firstLine="6149"/>
              <w:rPr>
                <w:rFonts w:ascii="仿宋_GB2312" w:eastAsia="仿宋_GB2312"/>
                <w:b/>
                <w:sz w:val="24"/>
              </w:rPr>
            </w:pPr>
            <w:r>
              <w:rPr>
                <w:rFonts w:ascii="仿宋_GB2312" w:eastAsia="仿宋_GB2312" w:hint="eastAsia"/>
                <w:b/>
                <w:sz w:val="24"/>
              </w:rPr>
              <w:t>年  月   日</w:t>
            </w:r>
          </w:p>
        </w:tc>
      </w:tr>
    </w:tbl>
    <w:p w:rsidR="00D67BE8" w:rsidRPr="00CC698C" w:rsidRDefault="00D67BE8" w:rsidP="00CC698C">
      <w:pPr>
        <w:pStyle w:val="1"/>
        <w:tabs>
          <w:tab w:val="left" w:pos="1134"/>
        </w:tabs>
        <w:snapToGrid w:val="0"/>
        <w:ind w:firstLineChars="0" w:firstLine="0"/>
        <w:rPr>
          <w:rFonts w:ascii="黑体" w:eastAsia="黑体" w:hAnsi="黑体"/>
          <w:b/>
          <w:sz w:val="2"/>
          <w:szCs w:val="24"/>
        </w:rPr>
      </w:pPr>
    </w:p>
    <w:p w:rsidR="00D67BE8" w:rsidRDefault="00D67BE8"/>
    <w:sectPr w:rsidR="00D67BE8" w:rsidSect="00256846">
      <w:footerReference w:type="default" r:id="rId9"/>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280B" w:rsidRDefault="006D280B" w:rsidP="00185520">
      <w:r>
        <w:separator/>
      </w:r>
    </w:p>
  </w:endnote>
  <w:endnote w:type="continuationSeparator" w:id="0">
    <w:p w:rsidR="006D280B" w:rsidRDefault="006D280B" w:rsidP="001855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楷体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8867996"/>
      <w:docPartObj>
        <w:docPartGallery w:val="Page Numbers (Bottom of Page)"/>
        <w:docPartUnique/>
      </w:docPartObj>
    </w:sdtPr>
    <w:sdtEndPr>
      <w:rPr>
        <w:rFonts w:ascii="Times New Roman" w:hAnsi="Times New Roman"/>
        <w:sz w:val="21"/>
        <w:szCs w:val="21"/>
      </w:rPr>
    </w:sdtEndPr>
    <w:sdtContent>
      <w:p w:rsidR="00256846" w:rsidRPr="00256846" w:rsidRDefault="00256846">
        <w:pPr>
          <w:pStyle w:val="a7"/>
          <w:jc w:val="center"/>
          <w:rPr>
            <w:rFonts w:ascii="Times New Roman" w:hAnsi="Times New Roman"/>
            <w:sz w:val="21"/>
            <w:szCs w:val="21"/>
          </w:rPr>
        </w:pPr>
        <w:r w:rsidRPr="00256846">
          <w:rPr>
            <w:rFonts w:ascii="Times New Roman" w:hAnsi="Times New Roman"/>
            <w:sz w:val="21"/>
            <w:szCs w:val="21"/>
          </w:rPr>
          <w:fldChar w:fldCharType="begin"/>
        </w:r>
        <w:r w:rsidRPr="00256846">
          <w:rPr>
            <w:rFonts w:ascii="Times New Roman" w:hAnsi="Times New Roman"/>
            <w:sz w:val="21"/>
            <w:szCs w:val="21"/>
          </w:rPr>
          <w:instrText>PAGE   \* MERGEFORMAT</w:instrText>
        </w:r>
        <w:r w:rsidRPr="00256846">
          <w:rPr>
            <w:rFonts w:ascii="Times New Roman" w:hAnsi="Times New Roman"/>
            <w:sz w:val="21"/>
            <w:szCs w:val="21"/>
          </w:rPr>
          <w:fldChar w:fldCharType="separate"/>
        </w:r>
        <w:r w:rsidRPr="00256846">
          <w:rPr>
            <w:rFonts w:ascii="Times New Roman" w:hAnsi="Times New Roman"/>
            <w:noProof/>
            <w:sz w:val="21"/>
            <w:szCs w:val="21"/>
            <w:lang w:val="zh-CN"/>
          </w:rPr>
          <w:t>1</w:t>
        </w:r>
        <w:r w:rsidRPr="00256846">
          <w:rPr>
            <w:rFonts w:ascii="Times New Roman" w:hAnsi="Times New Roman"/>
            <w:sz w:val="21"/>
            <w:szCs w:val="21"/>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280B" w:rsidRDefault="006D280B" w:rsidP="00185520">
      <w:r>
        <w:separator/>
      </w:r>
    </w:p>
  </w:footnote>
  <w:footnote w:type="continuationSeparator" w:id="0">
    <w:p w:rsidR="006D280B" w:rsidRDefault="006D280B" w:rsidP="001855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E93DEA"/>
    <w:multiLevelType w:val="multilevel"/>
    <w:tmpl w:val="06E93DEA"/>
    <w:lvl w:ilvl="0">
      <w:start w:val="1"/>
      <w:numFmt w:val="japaneseCounting"/>
      <w:lvlText w:val="（%1）"/>
      <w:lvlJc w:val="left"/>
      <w:pPr>
        <w:tabs>
          <w:tab w:val="left" w:pos="972"/>
        </w:tabs>
        <w:ind w:left="972" w:hanging="972"/>
      </w:pPr>
      <w:rPr>
        <w:rFonts w:hint="default"/>
      </w:rPr>
    </w:lvl>
    <w:lvl w:ilvl="1">
      <w:start w:val="1"/>
      <w:numFmt w:val="decimal"/>
      <w:lvlText w:val="%2."/>
      <w:lvlJc w:val="left"/>
      <w:pPr>
        <w:tabs>
          <w:tab w:val="left" w:pos="780"/>
        </w:tabs>
        <w:ind w:left="780" w:hanging="360"/>
      </w:pPr>
      <w:rPr>
        <w:rFonts w:hint="default"/>
        <w:b w:val="0"/>
      </w:rPr>
    </w:lvl>
    <w:lvl w:ilvl="2">
      <w:start w:val="1"/>
      <w:numFmt w:val="japaneseCounting"/>
      <w:lvlText w:val="%3、"/>
      <w:lvlJc w:val="left"/>
      <w:pPr>
        <w:tabs>
          <w:tab w:val="left" w:pos="1560"/>
        </w:tabs>
        <w:ind w:left="1560" w:hanging="720"/>
      </w:pPr>
      <w:rPr>
        <w:rFonts w:hint="default"/>
      </w:rPr>
    </w:lvl>
    <w:lvl w:ilvl="3">
      <w:start w:val="2"/>
      <w:numFmt w:val="decimal"/>
      <w:lvlText w:val="%4"/>
      <w:lvlJc w:val="left"/>
      <w:pPr>
        <w:ind w:left="1620" w:hanging="360"/>
      </w:pPr>
      <w:rPr>
        <w:rFonts w:hint="default"/>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15:restartNumberingAfterBreak="0">
    <w:nsid w:val="0A8254E7"/>
    <w:multiLevelType w:val="multilevel"/>
    <w:tmpl w:val="0A8254E7"/>
    <w:lvl w:ilvl="0">
      <w:start w:val="1"/>
      <w:numFmt w:val="decimal"/>
      <w:lvlText w:val="（%1）"/>
      <w:lvlJc w:val="left"/>
      <w:pPr>
        <w:tabs>
          <w:tab w:val="left" w:pos="1544"/>
        </w:tabs>
        <w:ind w:left="1544" w:hanging="984"/>
      </w:pPr>
    </w:lvl>
    <w:lvl w:ilvl="1">
      <w:start w:val="1"/>
      <w:numFmt w:val="japaneseCounting"/>
      <w:lvlText w:val="%2、"/>
      <w:lvlJc w:val="left"/>
      <w:pPr>
        <w:tabs>
          <w:tab w:val="left" w:pos="1532"/>
        </w:tabs>
        <w:ind w:left="1532" w:hanging="552"/>
      </w:pPr>
      <w:rPr>
        <w:rFonts w:eastAsia="黑体"/>
        <w:sz w:val="28"/>
      </w:rPr>
    </w:lvl>
    <w:lvl w:ilvl="2">
      <w:start w:val="1"/>
      <w:numFmt w:val="lowerRoman"/>
      <w:lvlText w:val="%3."/>
      <w:lvlJc w:val="right"/>
      <w:pPr>
        <w:tabs>
          <w:tab w:val="left" w:pos="1820"/>
        </w:tabs>
        <w:ind w:left="1820" w:hanging="420"/>
      </w:pPr>
    </w:lvl>
    <w:lvl w:ilvl="3">
      <w:start w:val="1"/>
      <w:numFmt w:val="decimal"/>
      <w:lvlText w:val="%4."/>
      <w:lvlJc w:val="left"/>
      <w:pPr>
        <w:tabs>
          <w:tab w:val="left" w:pos="2240"/>
        </w:tabs>
        <w:ind w:left="2240" w:hanging="420"/>
      </w:pPr>
    </w:lvl>
    <w:lvl w:ilvl="4">
      <w:start w:val="1"/>
      <w:numFmt w:val="lowerLetter"/>
      <w:lvlText w:val="%5)"/>
      <w:lvlJc w:val="left"/>
      <w:pPr>
        <w:tabs>
          <w:tab w:val="left" w:pos="2660"/>
        </w:tabs>
        <w:ind w:left="2660" w:hanging="420"/>
      </w:pPr>
    </w:lvl>
    <w:lvl w:ilvl="5">
      <w:start w:val="1"/>
      <w:numFmt w:val="lowerRoman"/>
      <w:lvlText w:val="%6."/>
      <w:lvlJc w:val="right"/>
      <w:pPr>
        <w:tabs>
          <w:tab w:val="left" w:pos="3080"/>
        </w:tabs>
        <w:ind w:left="3080" w:hanging="420"/>
      </w:pPr>
    </w:lvl>
    <w:lvl w:ilvl="6">
      <w:start w:val="1"/>
      <w:numFmt w:val="decimal"/>
      <w:lvlText w:val="%7."/>
      <w:lvlJc w:val="left"/>
      <w:pPr>
        <w:tabs>
          <w:tab w:val="left" w:pos="3500"/>
        </w:tabs>
        <w:ind w:left="3500" w:hanging="420"/>
      </w:pPr>
    </w:lvl>
    <w:lvl w:ilvl="7">
      <w:start w:val="1"/>
      <w:numFmt w:val="lowerLetter"/>
      <w:lvlText w:val="%8)"/>
      <w:lvlJc w:val="left"/>
      <w:pPr>
        <w:tabs>
          <w:tab w:val="left" w:pos="3920"/>
        </w:tabs>
        <w:ind w:left="3920" w:hanging="420"/>
      </w:pPr>
    </w:lvl>
    <w:lvl w:ilvl="8">
      <w:start w:val="1"/>
      <w:numFmt w:val="lowerRoman"/>
      <w:lvlText w:val="%9."/>
      <w:lvlJc w:val="right"/>
      <w:pPr>
        <w:tabs>
          <w:tab w:val="left" w:pos="4340"/>
        </w:tabs>
        <w:ind w:left="4340" w:hanging="420"/>
      </w:pPr>
    </w:lvl>
  </w:abstractNum>
  <w:abstractNum w:abstractNumId="2" w15:restartNumberingAfterBreak="0">
    <w:nsid w:val="1E2A7585"/>
    <w:multiLevelType w:val="multilevel"/>
    <w:tmpl w:val="1E2A7585"/>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pStyle w:val="3"/>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 w15:restartNumberingAfterBreak="0">
    <w:nsid w:val="4975522D"/>
    <w:multiLevelType w:val="multilevel"/>
    <w:tmpl w:val="4975522D"/>
    <w:lvl w:ilvl="0">
      <w:start w:val="1"/>
      <w:numFmt w:val="decimal"/>
      <w:lvlText w:val="%1."/>
      <w:lvlJc w:val="left"/>
      <w:pPr>
        <w:ind w:left="720" w:hanging="540"/>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72A27"/>
    <w:rsid w:val="0001313F"/>
    <w:rsid w:val="0001749B"/>
    <w:rsid w:val="000178C7"/>
    <w:rsid w:val="000435DF"/>
    <w:rsid w:val="000529AC"/>
    <w:rsid w:val="000C5033"/>
    <w:rsid w:val="00131E7E"/>
    <w:rsid w:val="00163F6F"/>
    <w:rsid w:val="00167E0A"/>
    <w:rsid w:val="00172A27"/>
    <w:rsid w:val="00185520"/>
    <w:rsid w:val="001A052A"/>
    <w:rsid w:val="002036DB"/>
    <w:rsid w:val="00256846"/>
    <w:rsid w:val="00282D25"/>
    <w:rsid w:val="002D33AF"/>
    <w:rsid w:val="002D7E24"/>
    <w:rsid w:val="003530F7"/>
    <w:rsid w:val="003737B2"/>
    <w:rsid w:val="0038566A"/>
    <w:rsid w:val="003D0BA2"/>
    <w:rsid w:val="004259CF"/>
    <w:rsid w:val="00427FAE"/>
    <w:rsid w:val="004D780F"/>
    <w:rsid w:val="00514B0C"/>
    <w:rsid w:val="0054505B"/>
    <w:rsid w:val="005B5A49"/>
    <w:rsid w:val="005D4381"/>
    <w:rsid w:val="005F3865"/>
    <w:rsid w:val="00643A84"/>
    <w:rsid w:val="00681F69"/>
    <w:rsid w:val="006B7017"/>
    <w:rsid w:val="006D280B"/>
    <w:rsid w:val="007960D7"/>
    <w:rsid w:val="007F3BDB"/>
    <w:rsid w:val="00841D76"/>
    <w:rsid w:val="00853DC7"/>
    <w:rsid w:val="0087379D"/>
    <w:rsid w:val="008E4EB5"/>
    <w:rsid w:val="00926E05"/>
    <w:rsid w:val="00BA1CEF"/>
    <w:rsid w:val="00BC5656"/>
    <w:rsid w:val="00C83965"/>
    <w:rsid w:val="00CC698C"/>
    <w:rsid w:val="00CD0EFE"/>
    <w:rsid w:val="00D4465E"/>
    <w:rsid w:val="00D47279"/>
    <w:rsid w:val="00D67BE8"/>
    <w:rsid w:val="00DC51D1"/>
    <w:rsid w:val="00DE7B83"/>
    <w:rsid w:val="00E825D4"/>
    <w:rsid w:val="00E90B38"/>
    <w:rsid w:val="00EE0390"/>
    <w:rsid w:val="00EE050D"/>
    <w:rsid w:val="00F856E1"/>
    <w:rsid w:val="00FF4B00"/>
    <w:rsid w:val="05763F86"/>
    <w:rsid w:val="0E9346C4"/>
    <w:rsid w:val="1B48478E"/>
    <w:rsid w:val="1F6B110E"/>
    <w:rsid w:val="262109AD"/>
    <w:rsid w:val="289629DC"/>
    <w:rsid w:val="305C1301"/>
    <w:rsid w:val="3AC6557F"/>
    <w:rsid w:val="433266DE"/>
    <w:rsid w:val="44706715"/>
    <w:rsid w:val="47962FFD"/>
    <w:rsid w:val="4845432B"/>
    <w:rsid w:val="64CF34DF"/>
    <w:rsid w:val="7C773952"/>
    <w:rsid w:val="7CF464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8E21E668-7A1C-4EB6-80F4-CD62D586D8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nhideWhenUsed="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eastAsia="宋体" w:hAnsi="Calibri" w:cs="Times New Roman"/>
      <w:kern w:val="2"/>
      <w:sz w:val="21"/>
      <w:szCs w:val="22"/>
    </w:rPr>
  </w:style>
  <w:style w:type="paragraph" w:styleId="3">
    <w:name w:val="heading 3"/>
    <w:basedOn w:val="a"/>
    <w:next w:val="a"/>
    <w:unhideWhenUsed/>
    <w:qFormat/>
    <w:pPr>
      <w:keepNext/>
      <w:keepLines/>
      <w:numPr>
        <w:ilvl w:val="2"/>
        <w:numId w:val="1"/>
      </w:numPr>
      <w:spacing w:beforeLines="50" w:afterLines="50"/>
      <w:outlineLvl w:val="2"/>
    </w:pPr>
    <w:rPr>
      <w:rFonts w:ascii="Times New Roman" w:eastAsia="仿宋_GB2312" w:hAnsi="Times New Roman"/>
      <w:b/>
      <w:bCs/>
      <w:sz w:val="24"/>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nhideWhenUsed/>
    <w:pPr>
      <w:jc w:val="left"/>
    </w:pPr>
  </w:style>
  <w:style w:type="paragraph" w:styleId="a5">
    <w:name w:val="Balloon Text"/>
    <w:basedOn w:val="a"/>
    <w:link w:val="a6"/>
    <w:qFormat/>
    <w:rPr>
      <w:sz w:val="18"/>
      <w:szCs w:val="18"/>
    </w:rPr>
  </w:style>
  <w:style w:type="paragraph" w:styleId="a7">
    <w:name w:val="footer"/>
    <w:basedOn w:val="a"/>
    <w:link w:val="a8"/>
    <w:uiPriority w:val="99"/>
    <w:qFormat/>
    <w:pPr>
      <w:tabs>
        <w:tab w:val="center" w:pos="4153"/>
        <w:tab w:val="right" w:pos="8306"/>
      </w:tabs>
      <w:snapToGrid w:val="0"/>
      <w:jc w:val="left"/>
    </w:pPr>
    <w:rPr>
      <w:sz w:val="18"/>
      <w:szCs w:val="18"/>
    </w:rPr>
  </w:style>
  <w:style w:type="paragraph" w:styleId="a9">
    <w:name w:val="header"/>
    <w:basedOn w:val="a"/>
    <w:link w:val="aa"/>
    <w:pPr>
      <w:pBdr>
        <w:bottom w:val="single" w:sz="6" w:space="1" w:color="auto"/>
      </w:pBdr>
      <w:tabs>
        <w:tab w:val="center" w:pos="4153"/>
        <w:tab w:val="right" w:pos="8306"/>
      </w:tabs>
      <w:snapToGrid w:val="0"/>
      <w:jc w:val="center"/>
    </w:pPr>
    <w:rPr>
      <w:sz w:val="18"/>
      <w:szCs w:val="18"/>
    </w:rPr>
  </w:style>
  <w:style w:type="paragraph" w:styleId="ab">
    <w:name w:val="annotation subject"/>
    <w:basedOn w:val="a3"/>
    <w:next w:val="a3"/>
    <w:link w:val="ac"/>
    <w:semiHidden/>
    <w:unhideWhenUsed/>
    <w:qFormat/>
    <w:rPr>
      <w:b/>
      <w:bCs/>
    </w:rPr>
  </w:style>
  <w:style w:type="character" w:styleId="ad">
    <w:name w:val="annotation reference"/>
    <w:basedOn w:val="a0"/>
    <w:semiHidden/>
    <w:unhideWhenUsed/>
    <w:rPr>
      <w:sz w:val="21"/>
      <w:szCs w:val="21"/>
    </w:rPr>
  </w:style>
  <w:style w:type="paragraph" w:customStyle="1" w:styleId="1">
    <w:name w:val="列出段落1"/>
    <w:basedOn w:val="a"/>
    <w:uiPriority w:val="34"/>
    <w:qFormat/>
    <w:pPr>
      <w:ind w:firstLineChars="200" w:firstLine="420"/>
    </w:pPr>
  </w:style>
  <w:style w:type="character" w:customStyle="1" w:styleId="aa">
    <w:name w:val="页眉 字符"/>
    <w:basedOn w:val="a0"/>
    <w:link w:val="a9"/>
    <w:rPr>
      <w:rFonts w:ascii="Calibri" w:eastAsia="宋体" w:hAnsi="Calibri" w:cs="Times New Roman"/>
      <w:kern w:val="2"/>
      <w:sz w:val="18"/>
      <w:szCs w:val="18"/>
    </w:rPr>
  </w:style>
  <w:style w:type="character" w:customStyle="1" w:styleId="a8">
    <w:name w:val="页脚 字符"/>
    <w:basedOn w:val="a0"/>
    <w:link w:val="a7"/>
    <w:uiPriority w:val="99"/>
    <w:rPr>
      <w:rFonts w:ascii="Calibri" w:eastAsia="宋体" w:hAnsi="Calibri" w:cs="Times New Roman"/>
      <w:kern w:val="2"/>
      <w:sz w:val="18"/>
      <w:szCs w:val="18"/>
    </w:rPr>
  </w:style>
  <w:style w:type="character" w:customStyle="1" w:styleId="a6">
    <w:name w:val="批注框文本 字符"/>
    <w:basedOn w:val="a0"/>
    <w:link w:val="a5"/>
    <w:qFormat/>
    <w:rPr>
      <w:rFonts w:ascii="Calibri" w:eastAsia="宋体" w:hAnsi="Calibri" w:cs="Times New Roman"/>
      <w:kern w:val="2"/>
      <w:sz w:val="18"/>
      <w:szCs w:val="18"/>
    </w:rPr>
  </w:style>
  <w:style w:type="paragraph" w:styleId="ae">
    <w:name w:val="List Paragraph"/>
    <w:basedOn w:val="a"/>
    <w:uiPriority w:val="99"/>
    <w:unhideWhenUsed/>
    <w:pPr>
      <w:widowControl/>
      <w:adjustRightInd w:val="0"/>
      <w:snapToGrid w:val="0"/>
      <w:spacing w:after="200"/>
      <w:ind w:firstLineChars="200" w:firstLine="420"/>
      <w:jc w:val="left"/>
    </w:pPr>
    <w:rPr>
      <w:rFonts w:ascii="Tahoma" w:eastAsia="微软雅黑" w:hAnsi="Tahoma"/>
      <w:kern w:val="0"/>
      <w:sz w:val="22"/>
    </w:rPr>
  </w:style>
  <w:style w:type="character" w:customStyle="1" w:styleId="a4">
    <w:name w:val="批注文字 字符"/>
    <w:basedOn w:val="a0"/>
    <w:link w:val="a3"/>
    <w:rPr>
      <w:rFonts w:ascii="Calibri" w:eastAsia="宋体" w:hAnsi="Calibri" w:cs="Times New Roman"/>
      <w:kern w:val="2"/>
      <w:sz w:val="21"/>
      <w:szCs w:val="22"/>
    </w:rPr>
  </w:style>
  <w:style w:type="character" w:customStyle="1" w:styleId="ac">
    <w:name w:val="批注主题 字符"/>
    <w:basedOn w:val="a4"/>
    <w:link w:val="ab"/>
    <w:semiHidden/>
    <w:rPr>
      <w:rFonts w:ascii="Calibri" w:eastAsia="宋体" w:hAnsi="Calibri" w:cs="Times New Roman"/>
      <w:b/>
      <w:bCs/>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Pages>
  <Words>1742</Words>
  <Characters>9936</Characters>
  <Application>Microsoft Office Word</Application>
  <DocSecurity>0</DocSecurity>
  <Lines>82</Lines>
  <Paragraphs>23</Paragraphs>
  <ScaleCrop>false</ScaleCrop>
  <Company>china</Company>
  <LinksUpToDate>false</LinksUpToDate>
  <CharactersWithSpaces>11655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26</cp:revision>
  <cp:lastPrinted>2019-05-13T13:03:00Z</cp:lastPrinted>
  <dcterms:created xsi:type="dcterms:W3CDTF">2019-05-05T14:06:00Z</dcterms:created>
  <dcterms:modified xsi:type="dcterms:W3CDTF">2020-03-16T08:43:00Z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2052-11.1.0.8612</vt:lpwstr>
  </property>
</Properties>
</file>